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12. Catch dependency of countries on stocks.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2856"/>
        <w:gridCol w:w="1312"/>
        <w:gridCol w:w="1534"/>
        <w:gridCol w:w="1973"/>
        <w:gridCol w:w="1773"/>
        <w:gridCol w:w="1422"/>
      </w:tblGrid>
      <w:tr>
        <w:trPr>
          <w:cantSplit/>
          <w:trHeight w:val="436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Sockdep.sp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Stockdep.total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</w:t>
              <w:br/>
              <w:t xml:space="preserve">specie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</w:t>
              <w:br/>
              <w:t xml:space="preserve">total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CATCH.DEP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0.948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0.942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0.132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0.996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0.927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0.955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0.805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0.286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0.692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0.846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0.995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0.739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0.991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0.061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0.899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4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0.992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0.336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0.856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0.755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0.755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0.507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0.910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0.681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0.924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0.872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4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0.888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0.983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0.821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0.986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0.642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0.715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0.854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0.963</w:t>
            </w:r>
          </w:p>
        </w:tc>
      </w:tr>
      <w:tr>
        <w:trPr>
          <w:cantSplit/>
          <w:trHeight w:val="394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0.465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4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0.298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0.679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4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0.774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0.510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4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0.440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0.525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0.525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0.880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0.703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0.933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4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0.922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0.214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0.193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0.595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0.713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0.137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2021-01-29T13:44:07Z</dcterms:modified>
  <cp:category/>
</cp:coreProperties>
</file>