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12. Catch dependency of countries on stocks.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2796"/>
        <w:gridCol w:w="1152"/>
        <w:gridCol w:w="1374"/>
        <w:gridCol w:w="1613"/>
        <w:gridCol w:w="1262"/>
      </w:tblGrid>
      <w:tr>
        <w:trPr>
          <w:trHeight w:val="436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Sockdep.sp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Stockdep.total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</w:t>
              <w:br/>
              <w:t xml:space="preserve">total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</w:t>
            </w:r>
          </w:p>
        </w:tc>
      </w:tr>
      <w:tr>
        <w:trPr>
          <w:trHeight w:val="397"/>
        </w:trPr>
        <w:tc>
          <w:tcPr>
            <w:vMerge w:val="restart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0.0812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0.9963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0.0484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0.9700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0.1858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0.0004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0.9950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0.9950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0.2856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0.0071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0.9114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0.9114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0.1129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0.9650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0.0194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0.0001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0.9988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0.9988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0.3294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0.9938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0.9938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0.1323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0.0322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0.5980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0.5980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0.9900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0.0188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0.9975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0.8704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0.0082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0.8976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0.8976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0.1358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0.9913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0.9913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0.3322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0.9788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0.9788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0.0344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0.9975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0.2657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0.0073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0.9089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0.9089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0.2270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0.0062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0.9226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0.9226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0.6151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0.8714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0.3302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0.0249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0.6891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0.6891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0.9875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0.9875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0.0091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0.8864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0.8864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0.0157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0.9963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0.2976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0.0229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0.7141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0.7141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0.0739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0.0429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0.4644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0.4644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0.0078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0.1031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0.0182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0.7728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0.7728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0.4402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0.0778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0.0287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0.0287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0.0002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0.7286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0.0097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0.8789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0.8789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0.9270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0.7016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0.7016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0.9763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0.5075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0.0063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0.9213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0.9213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0.0003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0.9963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0.9963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0.7484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0.0420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0.4757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0.4757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0.0458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0.9675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0.9675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2018-05-30T12:15:54Z</dcterms:modified>
  <cp:category/>
</cp:coreProperties>
</file>