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14. Adaptive Management indicator values and normalization.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123"/>
        <w:gridCol w:w="1434"/>
        <w:gridCol w:w="2101"/>
        <w:gridCol w:w="1634"/>
        <w:gridCol w:w="1778"/>
      </w:tblGrid>
      <w:tr>
        <w:trPr>
          <w:cantSplit/>
          <w:trHeight w:val="435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Research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Management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normalizedResearch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normalizedMng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ADAPTIVE.MNG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5385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8030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13325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5839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71934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20341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19279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5910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1431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88672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6021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71149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15606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2021-01-29T13:44:08Z</dcterms:modified>
  <cp:category/>
</cp:coreProperties>
</file>