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15. Socioeconomic Factors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4"/>
        <w:gridCol w:w="1600"/>
        <w:gridCol w:w="1712"/>
        <w:gridCol w:w="1878"/>
        <w:gridCol w:w="1800"/>
        <w:gridCol w:w="1912"/>
        <w:gridCol w:w="1778"/>
      </w:tblGrid>
      <w:tr>
        <w:trPr>
          <w:cantSplit/>
          <w:trHeight w:val="399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GEAR.DIV.cod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GEAR.DIV.hake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FLEET.MOBILITY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CATCH.DEP.cod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CATCH.DEP.hake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ADAPTIVE.MNG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0.238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0.942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0.034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0.223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0.381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0.947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0.106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0.029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0.793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0.065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0.524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0.476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0.571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0.885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0.229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0.429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0.693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0.169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0.429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0.141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0.760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0.506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0.108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0.381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0.023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0.571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0.759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0.137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0.567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2021-01-29T13:44:09Z</dcterms:modified>
  <cp:category/>
</cp:coreProperties>
</file>