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56e1cb3" w14:textId="556e1cb3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15. Socioeconomic Factors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