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16. Values, normalization and Co-Management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84"/>
        <w:gridCol w:w="2036"/>
        <w:gridCol w:w="2740"/>
        <w:gridCol w:w="1896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Norganizations</w:t>
              <w:br/>
              <w:t xml:space="preserve">2017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Norganizations'</w:t>
              <w:br/>
              <w:t xml:space="preserve">(normalized)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 MANAGEMENT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40.00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</w:tr>
      <w:tr>
        <w:trPr>
          <w:trHeight w:val="-Inf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2018-08-08T11:07:57Z</dcterms:modified>
  <cp:category/>
</cp:coreProperties>
</file>