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17. Indicators and normalization of Property Rights.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3007"/>
        <w:gridCol w:w="2167"/>
        <w:gridCol w:w="2178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Swaps</w:t>
              <w:br/>
              <w:t xml:space="preserve">(million € 2000 - 2006)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Swaps'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PROPERTY RIGHTS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0.810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-165.000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0.659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0.714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87.000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-49.000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0.742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0.738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0.663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0.655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2021-01-29T13:44:10Z</dcterms:modified>
  <cp:category/>
</cp:coreProperties>
</file>