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19. Factor Quota values per country.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546"/>
        <w:gridCol w:w="1646"/>
      </w:tblGrid>
      <w:tr>
        <w:trPr>
          <w:trHeight w:val="413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</w:t>
              <w:br/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</w:t>
              <w:br/>
              <w:t xml:space="preserve">HAKE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2018-07-12T11:59:44Z</dcterms:modified>
  <cp:category/>
</cp:coreProperties>
</file>