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19. Factor Quota values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546"/>
        <w:gridCol w:w="1646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2018-05-30T12:15:58Z</dcterms:modified>
  <cp:category/>
</cp:coreProperties>
</file>