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19. Factor Quota values per country.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546"/>
        <w:gridCol w:w="1646"/>
      </w:tblGrid>
      <w:tr>
        <w:trPr>
          <w:trHeight w:val="413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</w:t>
              <w:br/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</w:t>
              <w:br/>
              <w:t xml:space="preserve">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0.780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0.489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2018-05-25T15:41:10Z</dcterms:modified>
  <cp:category/>
</cp:coreProperties>
</file>