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19. Factor Quota values per country.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546"/>
        <w:gridCol w:w="1646"/>
      </w:tblGrid>
      <w:tr>
        <w:trPr>
          <w:trHeight w:val="413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</w:t>
              <w:br/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</w:t>
              <w:br/>
              <w:t xml:space="preserve">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0.780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0.489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2018-05-30T11:01:02Z</dcterms:modified>
  <cp:category/>
</cp:coreProperties>
</file>