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19. Factor Quota values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546"/>
        <w:gridCol w:w="1646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2018-05-30T11:24:16Z</dcterms:modified>
  <cp:category/>
</cp:coreProperties>
</file>