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Table1. Area indicators and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463"/>
        <w:gridCol w:w="1729"/>
        <w:gridCol w:w="1729"/>
        <w:gridCol w:w="1606"/>
        <w:gridCol w:w="1718"/>
        <w:gridCol w:w="1951"/>
        <w:gridCol w:w="2024"/>
        <w:gridCol w:w="651"/>
      </w:tblGrid>
      <w:tr>
        <w:trPr>
          <w:trHeight w:val="438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Area2006</w:t>
              <w:br/>
              <w:t xml:space="preserve">(km^2)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Area2100</w:t>
              <w:br/>
              <w:t xml:space="preserve">(km^2)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area 2%</w:t>
              <w:br/>
              <w:t xml:space="preserve">(km^2)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area 98%</w:t>
              <w:br/>
              <w:t xml:space="preserve">(km^2)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Area06'</w:t>
              <w:br/>
              <w:t xml:space="preserve">Normalized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Area100</w:t>
              <w:br/>
              <w:t xml:space="preserve">Normalized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AREA</w:t>
            </w:r>
          </w:p>
        </w:tc>
      </w:tr>
      <w:tr>
        <w:trPr>
          <w:trHeight w:val="433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European hake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5918472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6210615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261895.600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83378496.000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0.068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Atlantic cod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7014930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7868484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261895.600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83378496.000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C0A13" w:rsidRPr="00AE1BDD" w:rsidSect="00747CCE">
          <w:pgSz w:w="16840" w:h="11900" w:orient="landscape"/>
          <w:pgMar w:top="1417" w:right="1417" w:bottom="1417" w:left="1417" w:header="708" w:footer="708" w:gutter="0"/>
          <w:cols w:space="708"/>
          <w:docGrid w:linePitch="360"/>
          <w:type xmlns:w="http://schemas.openxmlformats.org/wordprocessingml/2006/main" w:val="continuous"/>
        </w:sectPr>
      </w:pP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2018-05-30T11:59:52Z</dcterms:modified>
  <cp:category/>
</cp:coreProperties>
</file>