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21. List of Institutional factors.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896"/>
        <w:gridCol w:w="2018"/>
        <w:gridCol w:w="1207"/>
        <w:gridCol w:w="1329"/>
        <w:gridCol w:w="1440"/>
      </w:tblGrid>
      <w:tr>
        <w:trPr>
          <w:trHeight w:val="413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CO.MANAGEMENT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PROPERTY.RIGHTS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QUOTAS.cod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QUOTAS.hake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2018-05-30T11:24:16Z</dcterms:modified>
  <cp:category/>
</cp:coreProperties>
</file>