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21. List of Institutional factors.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896"/>
        <w:gridCol w:w="2018"/>
        <w:gridCol w:w="1207"/>
        <w:gridCol w:w="1329"/>
        <w:gridCol w:w="1440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CO.MANAGEMENT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PROPERTY.RIGHTS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2018-05-30T11:13:44Z</dcterms:modified>
  <cp:category/>
</cp:coreProperties>
</file>