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789"/>
        <w:gridCol w:w="2178"/>
        <w:gridCol w:w="1367"/>
        <w:gridCol w:w="1489"/>
        <w:gridCol w:w="1600"/>
      </w:tblGrid>
      <w:tr>
        <w:trPr>
          <w:cantSplit/>
          <w:trHeight w:val="413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ORGANIZATION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QUOTAS.hake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0.03225806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0.35483871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0.16129032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0.09677419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0.51612903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0.06451613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0.03225806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0.29032258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0.41935484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0.45161290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0.16129032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2021-01-04T22:23:08Z</dcterms:modified>
  <cp:category/>
</cp:coreProperties>
</file>