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21. List of Institutional factors.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789"/>
        <w:gridCol w:w="2178"/>
        <w:gridCol w:w="1367"/>
        <w:gridCol w:w="1489"/>
        <w:gridCol w:w="1600"/>
      </w:tblGrid>
      <w:tr>
        <w:trPr>
          <w:cantSplit/>
          <w:trHeight w:val="413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ORGANIZATION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PROPERTY.RIGHTS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QUOTAS.cod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QUOTAS.hake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2021-01-29T13:44:12Z</dcterms:modified>
  <cp:category/>
</cp:coreProperties>
</file>