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21. List of Institutional factors.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896"/>
        <w:gridCol w:w="2018"/>
        <w:gridCol w:w="1207"/>
        <w:gridCol w:w="1329"/>
        <w:gridCol w:w="1440"/>
      </w:tblGrid>
      <w:tr>
        <w:trPr>
          <w:trHeight w:val="413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CO.MANAGEMENT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PROPERTY.RIGHTS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QUOTAS.cod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QUOTAS.hake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2018-05-30T16:56:10Z</dcterms:modified>
  <cp:category/>
</cp:coreProperties>
</file>