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21. List of Institutional factors.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789"/>
        <w:gridCol w:w="2178"/>
        <w:gridCol w:w="1367"/>
        <w:gridCol w:w="1489"/>
        <w:gridCol w:w="1600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ORGANIZATION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PROPERTY.RIGHTS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STRENGTH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QUOTAS.hake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0.967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0.861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2021-01-31T16:14:26Z</dcterms:modified>
  <cp:category/>
</cp:coreProperties>
</file>