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21. List of Institutional factors.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896"/>
        <w:gridCol w:w="2018"/>
        <w:gridCol w:w="1207"/>
        <w:gridCol w:w="1329"/>
        <w:gridCol w:w="1440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CO.MANAGEMENT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PROPERTY.RIGHTS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2018-05-30T11:35:32Z</dcterms:modified>
  <cp:category/>
</cp:coreProperties>
</file>