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(ß) from the linear models of SSB historic (full time series), SSB recent (1980-2018), R and F in RAM legacy stocks. Significance at the 0.001 (***), 0.01 (**), 0.05 (*) and 0.1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1467"/>
        <w:gridCol w:w="1545"/>
        <w:gridCol w:w="834"/>
        <w:gridCol w:w="1612"/>
        <w:gridCol w:w="1445"/>
        <w:gridCol w:w="1167"/>
        <w:gridCol w:w="165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R.average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50925.000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15436.000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-10130000.000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813051.300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578611100.000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-1887.400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27552.380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-1547.700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-889.400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-197174.000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42874.360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15425530.000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-3686.000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-1151990.000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256794.900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153450000.000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-15166.000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-6058.000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-7356000.000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182531200.000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-354.550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-333.900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-1732438.000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6641.132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27300770.000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-960.570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-672345.000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225250.000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11068650.000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-1085.600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-2838.900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-18380000.000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98135.900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461510500.000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4892.000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5617.000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98966.670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358487179.000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-567.400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733600.000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17838.650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79467568.000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2021-01-04T02:33:12Z</dcterms:modified>
  <cp:category/>
</cp:coreProperties>
</file>