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(Ã) from the linear models of SSB historic (1950- 2010), SSB recent (1980-2010), R and F in ICES data series. Significance at the 0.001 (***), 0.01 (**) and 0.05 (*)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07"/>
        <w:gridCol w:w="1385"/>
        <w:gridCol w:w="674"/>
        <w:gridCol w:w="1119"/>
        <w:gridCol w:w="1285"/>
        <w:gridCol w:w="1007"/>
        <w:gridCol w:w="1163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R.average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-5457.000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-2505.000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154496.552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198821.429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-2055.500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19008.038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60174.885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-2518.800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117668.826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34368.826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15249.000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-1086.000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-4731.000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393224.787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599326.082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-1396.800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-797.300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-156.600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61655.065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16189.087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-1765.000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-1675.000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387884.615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178673.077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-984.100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-728.100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-4386.300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272582.439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284458.191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-498.240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-954.600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-646.000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15694.472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13069.083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-568.000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-363.740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-209.590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10048.103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6070.205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17766.997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13783.752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-4901.900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-4915.800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-11746.000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128653.200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595658.386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2018-05-30T16:52:21Z</dcterms:modified>
  <cp:category/>
</cp:coreProperties>
</file>