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(ß) from the linear models of SSB historic (full time series), SSB recent (1980-2018), R and F in RAM legacy stocks. Significance at the 0.001 (***), 0.01 (**), 0.05 (*) and 0.1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467"/>
        <w:gridCol w:w="1545"/>
        <w:gridCol w:w="834"/>
        <w:gridCol w:w="1612"/>
        <w:gridCol w:w="1445"/>
        <w:gridCol w:w="1167"/>
        <w:gridCol w:w="165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R.average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50925.000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15436.000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-10130000.000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813051.300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578611100.000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27552.380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-1547.700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-889.400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-197174.000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42874.360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15425530.000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-3686.000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-1151990.000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256794.900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153450000.000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-15166.000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-6058.000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-7356000.000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182531200.000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-354.550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-333.900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-1732438.000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6641.132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27300770.000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-672345.000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11068650.000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-1085.600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-2838.900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-18380000.000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98135.900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461510500.000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4892.000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5617.000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98966.670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358487179.000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733600.000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17838.650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79467568.000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2021-01-04T22:28:05Z</dcterms:modified>
  <cp:category/>
</cp:coreProperties>
</file>