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(ß) from the linear models of SSB historic (1950- 2010), SSB recent (1980-2010), R and F in ICES data series. Significance at the 0.001 (***), 0.01 (**) and 0.05 (*)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07"/>
        <w:gridCol w:w="1385"/>
        <w:gridCol w:w="674"/>
        <w:gridCol w:w="1119"/>
        <w:gridCol w:w="1285"/>
        <w:gridCol w:w="1007"/>
        <w:gridCol w:w="1163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R.average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-5457.000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-2505.000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154496.552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198821.429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-2055.500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19008.038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60174.885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-2518.800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117668.826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34368.826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15249.000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-1086.000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-4731.000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393224.787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599326.082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-1396.800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-797.300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-156.600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61655.065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16189.087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-1765.000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-1675.000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387884.615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178673.077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-984.100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-728.100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-4386.300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272582.439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284458.191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-498.240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-954.600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-646.000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15694.472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13069.083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-568.000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-363.740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-209.590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10048.103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6070.205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17766.997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13783.752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-4901.900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-4915.800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-11746.000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128653.200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595658.386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2018-05-18T13:20:39Z</dcterms:modified>
  <cp:category/>
</cp:coreProperties>
</file>