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Value of the abundance indicators and overexploitation. Value of indicators normalized from Table SI2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744"/>
        <w:gridCol w:w="1223"/>
        <w:gridCol w:w="1300"/>
        <w:gridCol w:w="845"/>
        <w:gridCol w:w="867"/>
        <w:gridCol w:w="1790"/>
        <w:gridCol w:w="1867"/>
        <w:gridCol w:w="1412"/>
        <w:gridCol w:w="1434"/>
        <w:gridCol w:w="15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0.331</w:t>
            </w:r>
          </w:p>
        </w:tc>
      </w:tr>
      <w:tr>
        <w:trPr>
          <w:cantSplit/>
          <w:trHeight w:val="433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2021-01-31T16:14:17Z</dcterms:modified>
  <cp:category/>
</cp:coreProperties>
</file>