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3. Normalization of Abundance indicators and Abundance factor calculation.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684"/>
        <w:gridCol w:w="1063"/>
        <w:gridCol w:w="685"/>
        <w:gridCol w:w="707"/>
        <w:gridCol w:w="1630"/>
        <w:gridCol w:w="1252"/>
        <w:gridCol w:w="1274"/>
        <w:gridCol w:w="1362"/>
      </w:tblGrid>
      <w:tr>
        <w:trPr>
          <w:trHeight w:val="436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STOCK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SSBrecent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Ftrend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Rtrend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SSBrecent_norm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Ftrend_norm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Rtrend_norm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ABUNDANCE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-0.013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0.814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0.928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0.276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-0.064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0.795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0.598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CODCOASTNOR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-0.012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-0.073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0.292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0.849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0.292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CODNEAR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0.778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-0.023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-0.010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0.399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0.826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0.399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0.576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0.795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0.576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-0.091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-0.015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0.586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0.885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0.586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-0.049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0.311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0.745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0.365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0.311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-0.057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0.432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0.593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0.068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0.820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-0.020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0.248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0.805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0.819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0.248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 xmlns:w="http://schemas.openxmlformats.org/wordprocessingml/2006/main" w:rsidR="001C0A13" w:rsidRPr="00AE1BDD" w:rsidSect="00747CCE">
          <w:pgSz w:w="16840" w:h="11900" w:orient="landscape"/>
          <w:pgMar w:top="1417" w:right="1417" w:bottom="1417" w:left="1417" w:header="708" w:footer="708" w:gutter="0"/>
          <w:cols w:space="708"/>
          <w:docGrid w:linePitch="360"/>
          <w:type xmlns:w="http://schemas.openxmlformats.org/wordprocessingml/2006/main" w:val="continuous"/>
        </w:sectPr>
      </w:pP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2018-05-30T11:49:14Z</dcterms:modified>
  <cp:category/>
</cp:coreProperties>
</file>