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d78144" w14:textId="7ed78144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