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Normalization of Abundance indicators and Abundance factor calculation.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063"/>
        <w:gridCol w:w="1140"/>
        <w:gridCol w:w="685"/>
        <w:gridCol w:w="707"/>
        <w:gridCol w:w="1630"/>
        <w:gridCol w:w="1707"/>
        <w:gridCol w:w="1252"/>
        <w:gridCol w:w="1274"/>
        <w:gridCol w:w="13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SSBhistoric_norm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2018-08-08T11:07:51Z</dcterms:modified>
  <cp:category/>
</cp:coreProperties>
</file>