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Normalization of Abundance indicators and Abundance factor calculation.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063"/>
        <w:gridCol w:w="685"/>
        <w:gridCol w:w="707"/>
        <w:gridCol w:w="1630"/>
        <w:gridCol w:w="1252"/>
        <w:gridCol w:w="1274"/>
        <w:gridCol w:w="13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2018-05-30T12:15:51Z</dcterms:modified>
  <cp:category/>
</cp:coreProperties>
</file>