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95b115a" w14:textId="a95b115a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3. Normalization of Abundance indicators and Abundance factor calculation.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SSBrecent_norm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SSBhistoric_norm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Rtrend_norm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0.586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-0.038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-0.020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0.248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0.416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