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3. Normalization of Abundance indicators and Abundance factor calculation.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1063"/>
        <w:gridCol w:w="1140"/>
        <w:gridCol w:w="685"/>
        <w:gridCol w:w="707"/>
        <w:gridCol w:w="1630"/>
        <w:gridCol w:w="1707"/>
        <w:gridCol w:w="1252"/>
        <w:gridCol w:w="1274"/>
        <w:gridCol w:w="1362"/>
      </w:tblGrid>
      <w:tr>
        <w:trPr>
          <w:trHeight w:val="436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SSBrecent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SSBhistoric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Ftrend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Rtrend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SSBrecent_norm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SSBhistoric_norm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Ftrend_norm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Rtrend_norm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0.044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0.416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2018-08-02T11:58:45Z</dcterms:modified>
  <cp:category/>
</cp:coreProperties>
</file>