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4. Temperature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63"/>
        <w:gridCol w:w="2481"/>
        <w:gridCol w:w="1836"/>
        <w:gridCol w:w="1814"/>
        <w:gridCol w:w="1925"/>
        <w:gridCol w:w="1636"/>
        <w:gridCol w:w="1747"/>
        <w:gridCol w:w="1796"/>
        <w:gridCol w:w="1618"/>
        <w:gridCol w:w="1251"/>
      </w:tblGrid>
      <w:tr>
        <w:trPr>
          <w:trHeight w:val="47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  <w:br/>
              <w:t xml:space="preserve">range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mean</w:t>
              <w:br/>
              <w:t xml:space="preserve">temp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e2%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</w:t>
              <w:br/>
              <w:t xml:space="preserve">e98%</w:t>
              <w:br/>
              <w:t xml:space="preserve">(ÂºC)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Trange'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T50'</w:t>
              <w:br/>
              <w:t xml:space="preserve">normalized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TEMPERAT.</w:t>
            </w:r>
          </w:p>
        </w:tc>
      </w:tr>
      <w:tr>
        <w:trPr>
          <w:trHeight w:val="433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European hake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0.455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Atlantic 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2018-08-02T11:58:46Z</dcterms:modified>
  <cp:category/>
</cp:coreProperties>
</file>