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5. Overexploitation indicators, normalization and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973"/>
        <w:gridCol w:w="2029"/>
        <w:gridCol w:w="212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OverMSY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OverMSY'</w:t>
              <w:br/>
              <w:t xml:space="preserve">ormalized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5.010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2018-05-30T11:24:10Z</dcterms:modified>
  <cp:category/>
</cp:coreProperties>
</file>