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38125b7" w14:textId="838125b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