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62"/>
        <w:gridCol w:w="1618"/>
        <w:gridCol w:w="12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0.3106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2018-05-30T14:37:41Z</dcterms:modified>
  <cp:category/>
</cp:coreProperties>
</file>