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7. Ecological factors per stock.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62"/>
        <w:gridCol w:w="1618"/>
        <w:gridCol w:w="2129"/>
        <w:gridCol w:w="12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2018-05-30T16:53:40Z</dcterms:modified>
  <cp:category/>
</cp:coreProperties>
</file>