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522"/>
        <w:gridCol w:w="1778"/>
        <w:gridCol w:w="2289"/>
        <w:gridCol w:w="138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2021-01-31T19:45:31Z</dcterms:modified>
  <cp:category/>
</cp:coreProperties>
</file>