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8. Stocks that are being fished by EU countries (2006-2010).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744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  <w:gridCol w:w="578"/>
      </w:tblGrid>
      <w:tr>
        <w:trPr>
          <w:cantSplit/>
          <w:trHeight w:val="399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CODNEARNCW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2021-01-29T14:24:42Z</dcterms:modified>
  <cp:category/>
</cp:coreProperties>
</file>