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77641a2" w14:textId="d77641a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