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9. Ecological Factors per fishing country and species.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362"/>
        <w:gridCol w:w="2129"/>
        <w:gridCol w:w="1229"/>
        <w:gridCol w:w="1618"/>
        <w:gridCol w:w="1362"/>
        <w:gridCol w:w="2129"/>
        <w:gridCol w:w="1229"/>
        <w:gridCol w:w="1618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</w:t>
            </w:r>
          </w:p>
        </w:tc>
        <w:tc>
          <w:tcPr>
            <w:gridSpan w:val="4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</w:t>
            </w:r>
          </w:p>
        </w:tc>
      </w:tr>
      <w:tr>
        <w:trPr>
          <w:trHeight w:val="399"/>
          <w:tblHeader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ABUNDANCE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OVEREXPLOITATION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TEMPERATURE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ABUNDANCE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OVEREXPLOITATION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TEMPERATURE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0.633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2018-08-08T11:07:54Z</dcterms:modified>
  <cp:category/>
</cp:coreProperties>
</file>