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d06336" w14:textId="e2d06336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