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9. Ecological Factors per fishing country and species.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362"/>
        <w:gridCol w:w="2129"/>
        <w:gridCol w:w="1229"/>
        <w:gridCol w:w="1618"/>
        <w:gridCol w:w="1362"/>
        <w:gridCol w:w="2129"/>
        <w:gridCol w:w="1229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gridSpan w:val="4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2018-05-25T15:41:06Z</dcterms:modified>
  <cp:category/>
</cp:coreProperties>
</file>