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9. Ecological Factors per fishing country and species.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1362"/>
        <w:gridCol w:w="2129"/>
        <w:gridCol w:w="1229"/>
        <w:gridCol w:w="1618"/>
        <w:gridCol w:w="1362"/>
        <w:gridCol w:w="2129"/>
        <w:gridCol w:w="1229"/>
        <w:gridCol w:w="1618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</w:t>
            </w:r>
          </w:p>
        </w:tc>
        <w:tc>
          <w:tcPr>
            <w:gridSpan w:val="4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</w:t>
            </w:r>
          </w:p>
        </w:tc>
      </w:tr>
      <w:tr>
        <w:trPr>
          <w:trHeight w:val="399"/>
          <w:tblHeader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ABUNDANCE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OVEREXPLOITATION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TEMPERATURE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ABUNDANCE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OVEREXPLOITATION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TEMPERATURE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0.626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0.384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0.425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0.586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0.586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0.586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2018-05-30T11:00:41Z</dcterms:modified>
  <cp:category/>
</cp:coreProperties>
</file>