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9. Ecological Factors per fishing country and species.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362"/>
        <w:gridCol w:w="2129"/>
        <w:gridCol w:w="1229"/>
        <w:gridCol w:w="1618"/>
        <w:gridCol w:w="1362"/>
        <w:gridCol w:w="2129"/>
        <w:gridCol w:w="1229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gridSpan w:val="4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2018-05-30T11:24:11Z</dcterms:modified>
  <cp:category/>
</cp:coreProperties>
</file>