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9. Ecological Factors per fishing country and species.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362"/>
        <w:gridCol w:w="2129"/>
        <w:gridCol w:w="1229"/>
        <w:gridCol w:w="1618"/>
        <w:gridCol w:w="1362"/>
        <w:gridCol w:w="2129"/>
        <w:gridCol w:w="1229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</w:t>
            </w:r>
          </w:p>
        </w:tc>
        <w:tc>
          <w:tcPr>
            <w:gridSpan w:val="4"/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</w:t>
            </w:r>
          </w:p>
        </w:tc>
      </w:tr>
      <w:tr>
        <w:trPr>
          <w:trHeight w:val="399"/>
          <w:tblHeader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2018-05-31T15:22:14Z</dcterms:modified>
  <cp:category/>
</cp:coreProperties>
</file>