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7fd2dca" w14:textId="17fd2dc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