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9. Ecological Factors per fishing country and species.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362"/>
        <w:gridCol w:w="2129"/>
        <w:gridCol w:w="1618"/>
        <w:gridCol w:w="1362"/>
        <w:gridCol w:w="2129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gridSpan w:val="3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2018-05-30T11:49:17Z</dcterms:modified>
  <cp:category/>
</cp:coreProperties>
</file>