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9. Ecological Factors per fishing country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362"/>
        <w:gridCol w:w="2129"/>
        <w:gridCol w:w="1229"/>
        <w:gridCol w:w="1618"/>
        <w:gridCol w:w="1362"/>
        <w:gridCol w:w="2129"/>
        <w:gridCol w:w="1229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2018-05-30T11:06:39Z</dcterms:modified>
  <cp:category/>
</cp:coreProperties>
</file>