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9. Ecological Factors per fishing country and species.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362"/>
        <w:gridCol w:w="2129"/>
        <w:gridCol w:w="1229"/>
        <w:gridCol w:w="1618"/>
        <w:gridCol w:w="1362"/>
        <w:gridCol w:w="2129"/>
        <w:gridCol w:w="1229"/>
        <w:gridCol w:w="16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gridSpan w:val="4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</w:t>
            </w:r>
          </w:p>
        </w:tc>
      </w:tr>
      <w:tr>
        <w:trPr>
          <w:trHeight w:val="399"/>
          <w:tblHeader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OVEREXPLOITATION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OVEREXPLOITATION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0.633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2018-08-02T11:58:48Z</dcterms:modified>
  <cp:category/>
</cp:coreProperties>
</file>