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f7919b8" w14:textId="9f7919b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