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Appendix Table. Species-level price elasticities (Cluster c4)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btna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ytna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btna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-0.168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</w:tr>
      <w:tr>
        <w:trPr>
          <w:trHeight w:val="611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ytna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0.489</w:t>
            </w:r>
          </w:p>
        </w:tc>
      </w:tr>
    </w:tbl>
    <w:p>
      <w:pPr>
        <w:pStyle w:val="Normal"/>
      </w:pPr>
      <w:r>
        <w:t xml:space="preserve">Rows indicate the shocked species k (1% increase in expected price for all alternatives of species k, applied only when the covariate is &gt; 0). First column reports the participation (extensive-margin) elasticity: d ln P(participate) / d ln price_k. Remaining columns report elasticities of conditional species choice probabilities: d ln P(species=j|participate) / d ln price_k.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availability elasticities (Cluster c4)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btna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ytna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btna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611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ytna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0.823</w:t>
            </w:r>
          </w:p>
        </w:tc>
      </w:tr>
    </w:tbl>
    <w:p>
      <w:pPr>
        <w:pStyle w:val="Normal"/>
      </w:pPr>
      <w:r>
        <w:t xml:space="preserve">Rows indicate the shocked species k (1% increase in expected availability for all alternatives of species k, applied only when the covariate is &gt; 0). First column reports the participation (extensive-margin) elasticity: d ln P(participate) / d ln avail_k. Remaining columns report elasticities of conditional species choice probabilities: d ln P(species=j|participate) / d ln avail_k.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price elasticities (Cluster c5)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albc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-0.571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-0.150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-3.629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-0.030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</w:tbl>
    <w:p>
      <w:pPr>
        <w:pStyle w:val="Normal"/>
      </w:pPr>
      <w:r>
        <w:t xml:space="preserve">Rows indicate the shocked species k (1% increase in expected price for all alternatives of species k, applied only when the covariate is &gt; 0). First column reports the participation (extensive-margin) elasticity: d ln P(participate) / d ln price_k. Remaining columns report elasticities of conditional species choice probabilities: d ln P(species=j|participate) / d ln price_k.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availability elasticities (Cluster c5)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albc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albc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-0.232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-0.270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</w:tr>
      <w:tr>
        <w:trPr>
          <w:trHeight w:val="61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</w:tr>
    </w:tbl>
    <w:p>
      <w:pPr>
        <w:pStyle w:val="Normal"/>
      </w:pPr>
      <w:r>
        <w:t xml:space="preserve">Rows indicate the shocked species k (1% increase in expected availability for all alternatives of species k, applied only when the covariate is &gt; 0). First column reports the participation (extensive-margin) elasticity: d ln P(participate) / d ln avail_k. Remaining columns report elasticities of conditional species choice probabilities: d ln P(species=j|participate) / d ln avail_k.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price elasticities (Cluster c6)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sock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-0.013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-0.646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-0.287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</w:tbl>
    <w:p>
      <w:pPr>
        <w:pStyle w:val="Normal"/>
      </w:pPr>
      <w:r>
        <w:t xml:space="preserve">Rows indicate the shocked species k (1% increase in expected price for all alternatives of species k, applied only when the covariate is &gt; 0). First column reports the participation (extensive-margin) elasticity: d ln P(participate) / d ln price_k. Remaining columns report elasticities of conditional species choice probabilities: d ln P(species=j|participate) / d ln price_k.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availability elasticities (Cluster c6)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sock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dcrb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-0.290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-0.213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sock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3.711</w:t>
            </w:r>
          </w:p>
        </w:tc>
      </w:tr>
    </w:tbl>
    <w:p>
      <w:pPr>
        <w:pStyle w:val="Normal"/>
      </w:pPr>
      <w:r>
        <w:t xml:space="preserve">Rows indicate the shocked species k (1% increase in expected availability for all alternatives of species k, applied only when the covariate is &gt; 0). First column reports the participation (extensive-margin) elasticity: d ln P(participate) / d ln avail_k. Remaining columns report elasticities of conditional species choice probabilities: d ln P(species=j|participate) / d ln avail_k.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price elasticities (Cluster c7)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-0.049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-0.450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-0.196</w:t>
            </w:r>
          </w:p>
        </w:tc>
      </w:tr>
      <w:tr>
        <w:trPr>
          <w:trHeight w:val="612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0.188</w:t>
            </w:r>
          </w:p>
        </w:tc>
      </w:tr>
    </w:tbl>
    <w:p>
      <w:pPr>
        <w:pStyle w:val="Normal"/>
      </w:pPr>
      <w:r>
        <w:t xml:space="preserve">Rows indicate the shocked species k (1% increase in expected price for all alternatives of species k, applied only when the covariate is &gt; 0). First column reports the participation (extensive-margin) elasticity: d ln P(participate) / d ln price_k. Remaining columns report elasticities of conditional species choice probabilities: d ln P(species=j|participate) / d ln price_k. All quantities are summarized by the sample mean.</w:t>
      </w:r>
    </w:p>
    <w:p>
      <w:pPr/>
      <w:r>
        <w:br w:type="page"/>
      </w:r>
    </w:p>
    <w:p>
      <w:pPr>
        <w:pStyle w:val="Titre2"/>
      </w:pPr>
      <w:r>
        <w:t xml:space="preserve">Appendix Table. Species-level availability elasticities (Cluster c7)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Shocked species (k)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ext_participation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cmck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jmck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msqd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-0.170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</w:t>
            </w:r>
          </w:p>
        </w:tc>
      </w:tr>
      <w:tr>
        <w:trPr>
          <w:trHeight w:val="612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psdn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</w:tr>
    </w:tbl>
    <w:p>
      <w:pPr>
        <w:pStyle w:val="Normal"/>
      </w:pPr>
      <w:r>
        <w:t xml:space="preserve">Rows indicate the shocked species k (1% increase in expected availability for all alternatives of species k, applied only when the covariate is &gt; 0). First column reports the participation (extensive-margin) elasticity: d ln P(participate) / d ln avail_k. Remaining columns report elasticities of conditional species choice probabilities: d ln P(species=j|participate) / d ln avail_k. All quantities are summarized by the sample mean.</w:t>
      </w:r>
    </w:p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2026-01-16T12:25:04Z</dcterms:modified>
  <cp:category/>
</cp:coreProperties>
</file>