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戦略設計：製薬業界 × エビデンスジェネレーションAI相談チャットサービス</w:t>
      </w:r>
    </w:p>
    <w:p>
      <w:pPr>
        <w:pStyle w:val="ListParagraph"/>
        <w:numPr>
          <w:ilvl w:val="0"/>
          <w:numId w:val="2"/>
        </w:numPr>
        <w:spacing w:after="60" w:line="300"/>
      </w:pPr>
      <w:r>
        <w:t xml:space="preserve">作成日：2026-10-14</w:t>
      </w:r>
    </w:p>
    <w:p>
      <w:pPr>
        <w:pStyle w:val="ListParagraph"/>
        <w:numPr>
          <w:ilvl w:val="0"/>
          <w:numId w:val="2"/>
        </w:numPr>
        <w:spacing w:after="60" w:line="300"/>
      </w:pPr>
      <w:r>
        <w:t xml:space="preserve">事業テーマ・業界：製薬業界</w:t>
      </w:r>
    </w:p>
    <w:p>
      <w:pPr>
        <w:pStyle w:val="ListParagraph"/>
        <w:numPr>
          <w:ilvl w:val="0"/>
          <w:numId w:val="2"/>
        </w:numPr>
        <w:spacing w:after="60" w:line="300"/>
      </w:pPr>
      <w:r>
        <w:t xml:space="preserve">サービス内容・提供価値：エビデンスジェネレーション（エビデンスギャップ分析、研究立案、RWD・文献の活用）に関するAI相談チャットサービス</w:t>
      </w:r>
    </w:p>
    <w:p>
      <w:pPr>
        <w:pStyle w:val="ListParagraph"/>
        <w:numPr>
          <w:ilvl w:val="0"/>
          <w:numId w:val="2"/>
        </w:numPr>
        <w:spacing w:after="60" w:line="300"/>
      </w:pPr>
      <w:r>
        <w:t xml:space="preserve">ターゲット顧客：製薬企業のメディカルアフェアーズ（MA）部員</w:t>
      </w:r>
    </w:p>
    <w:p>
      <w:pPr>
        <w:pStyle w:val="ListParagraph"/>
        <w:numPr>
          <w:ilvl w:val="0"/>
          <w:numId w:val="2"/>
        </w:numPr>
        <w:spacing w:after="60" w:line="300"/>
      </w:pPr>
      <w:r>
        <w:t xml:space="preserve">関連資料：</w:t>
      </w:r>
      <w:r>
        <w:t xml:space="preserve">事業検証レポート_MA向けエビデンスジェネレーションAI相談チャット_2026-10-14.md</w:t>
      </w:r>
    </w:p>
    <w:p>
      <w:pPr>
        <w:pBdr>
          <w:left w:val="single" w:color="1F4E79" w:sz="18" w:space="8"/>
        </w:pBdr>
        <w:shd w:fill="EEF3F8" w:color="auto" w:val="clear"/>
        <w:spacing w:before="60" w:after="120" w:line="300"/>
        <w:ind w:left="200"/>
      </w:pPr>
      <w:r>
        <w:rPr>
          <w:b/>
          <w:bCs/>
          <w:sz w:val="19"/>
          <w:szCs w:val="19"/>
        </w:rPr>
        <w:t xml:space="preserve">前提</w:t>
      </w:r>
      <w:r>
        <w:rPr>
          <w:sz w:val="19"/>
          <w:szCs w:val="19"/>
        </w:rPr>
        <w:t xml:space="preserve">：外部環境（PEST、機会・脅威、Customer、Competitor）はWeb検索で集めた公開情報にもとづいています。自社の内部要因（強み・弱み、Company）は、自社のリソース情報をまだいただいていないため、</w:t>
      </w:r>
      <w:r>
        <w:rPr>
          <w:b/>
          <w:bCs/>
          <w:sz w:val="19"/>
          <w:szCs w:val="19"/>
        </w:rPr>
        <w:t xml:space="preserve">事業構想から想定したもの</w:t>
      </w:r>
      <w:r>
        <w:rPr>
          <w:sz w:val="19"/>
          <w:szCs w:val="19"/>
        </w:rPr>
        <w:t xml:space="preserve">です。実際の体制に合わせて修正してください。</w:t>
      </w:r>
    </w:p>
    <w:p>
      <w:pPr>
        <w:pBdr>
          <w:bottom w:val="single" w:color="BFBFBF" w:sz="6" w:space="1"/>
        </w:pBdr>
        <w:spacing w:before="120" w:after="120"/>
      </w:pPr>
    </w:p>
    <w:p>
      <w:pPr>
        <w:pStyle w:val="Heading1"/>
      </w:pPr>
      <w:r>
        <w:t xml:space="preserve">1. PEST分析</w:t>
      </w:r>
    </w:p>
    <w:p>
      <w:pPr>
        <w:pStyle w:val="Heading2"/>
      </w:pPr>
      <w:r>
        <w:t xml:space="preserve">Political（政治・規制）</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0"/>
        <w:gridCol w:w="4397"/>
        <w:gridCol w:w="3649"/>
      </w:tblGrid>
      <w:tr>
        <w:trPr>
          <w:tblHeader/>
        </w:trPr>
        <w:tc>
          <w:tcPr>
            <w:tcW w:type="dxa" w:w="182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要因</w:t>
            </w:r>
          </w:p>
        </w:tc>
        <w:tc>
          <w:tcPr>
            <w:tcW w:type="dxa" w:w="4397"/>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内容</w:t>
            </w:r>
          </w:p>
        </w:tc>
        <w:tc>
          <w:tcPr>
            <w:tcW w:type="dxa" w:w="3649"/>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事業への影響</w:t>
            </w:r>
          </w:p>
        </w:tc>
      </w:tr>
      <w:tr>
        <w:trPr>
          <w:cantSplit w:val="false"/>
        </w:trPr>
        <w:tc>
          <w:tcPr>
            <w:tcW w:type="dxa" w:w="18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RWDの承認申請への活用が明確化</w:t>
            </w:r>
          </w:p>
        </w:tc>
        <w:tc>
          <w:tcPr>
            <w:tcW w:type="dxa" w:w="43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厚労省医薬局は2026年2月27日付の局長通知で、患者数が少なく臨床試験が難しい新用量医薬品などの承認申請にRWDを使えるケースを明確にした。2026年3月にはレジストリ活用のQ&amp;Aも出ている</w:t>
            </w:r>
          </w:p>
        </w:tc>
        <w:tc>
          <w:tcPr>
            <w:tcW w:type="dxa" w:w="3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追い風</w:t>
            </w:r>
            <w:r>
              <w:rPr>
                <w:sz w:val="17"/>
                <w:szCs w:val="17"/>
              </w:rPr>
              <w:t xml:space="preserve">：RWDによるエビデンス創出の需要と、研究デザインの相談ニーズが増える</w:t>
            </w:r>
          </w:p>
        </w:tc>
      </w:tr>
      <w:tr>
        <w:trPr>
          <w:cantSplit w:val="false"/>
        </w:trPr>
        <w:tc>
          <w:tcPr>
            <w:tcW w:type="dxa" w:w="18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次世代医療基盤法の改正</w:t>
            </w:r>
          </w:p>
        </w:tc>
        <w:tc>
          <w:tcPr>
            <w:tcW w:type="dxa" w:w="43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2024年4月に改正法が施行され、「仮名加工医療情報」が創設された。製薬企業は国の認定（I型・II型）を受ければ利用できる。2025年2月にはアストラゼネカが国内初のI型認定を取得</w:t>
            </w:r>
          </w:p>
        </w:tc>
        <w:tc>
          <w:tcPr>
            <w:tcW w:type="dxa" w:w="3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追い風</w:t>
            </w:r>
            <w:r>
              <w:rPr>
                <w:sz w:val="17"/>
                <w:szCs w:val="17"/>
              </w:rPr>
              <w:t xml:space="preserve">：国内RWDの選択肢が広がる。データソース選びや認定手続きへの理解の支援が価値になる</w:t>
            </w:r>
          </w:p>
        </w:tc>
      </w:tr>
      <w:tr>
        <w:trPr>
          <w:cantSplit w:val="false"/>
        </w:trPr>
        <w:tc>
          <w:tcPr>
            <w:tcW w:type="dxa" w:w="18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臨床研究法の改正</w:t>
            </w:r>
          </w:p>
        </w:tc>
        <w:tc>
          <w:tcPr>
            <w:tcW w:type="dxa" w:w="43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2025年5月31日に施行。適用範囲や特定臨床研究の範囲の見直し、統括管理者の導入、利益相反手続きの適正化など。研究目的で対象者に著しい負担を与える検査を伴う観察研究も法の対象と明確化された</w:t>
            </w:r>
          </w:p>
        </w:tc>
        <w:tc>
          <w:tcPr>
            <w:tcW w:type="dxa" w:w="3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追い風かつ制約</w:t>
            </w:r>
            <w:r>
              <w:rPr>
                <w:sz w:val="17"/>
                <w:szCs w:val="17"/>
              </w:rPr>
              <w:t xml:space="preserve">：「どの規制が適用されるか」の判断が複雑になり、相談需要が生まれる。一方で、回答を誤ったときのリスクも大きくなる</w:t>
            </w:r>
          </w:p>
        </w:tc>
      </w:tr>
      <w:tr>
        <w:trPr>
          <w:cantSplit w:val="false"/>
        </w:trPr>
        <w:tc>
          <w:tcPr>
            <w:tcW w:type="dxa" w:w="18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販売情報提供活動ガイドライン</w:t>
            </w:r>
          </w:p>
        </w:tc>
        <w:tc>
          <w:tcPr>
            <w:tcW w:type="dxa" w:w="43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2019年4月に施行。MSLを含め、所属部門にかかわらず製薬企業の全従業員が対象。不適切事例は減ったが、企業が過度に慎重になったという指摘もある</w:t>
            </w:r>
          </w:p>
        </w:tc>
        <w:tc>
          <w:tcPr>
            <w:tcW w:type="dxa" w:w="3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制約</w:t>
            </w:r>
            <w:r>
              <w:rPr>
                <w:sz w:val="17"/>
                <w:szCs w:val="17"/>
              </w:rPr>
              <w:t xml:space="preserve">：AIの出力がプロモーションと見なされない設計（MA活動とプロモーションの分離）が必須</w:t>
            </w:r>
          </w:p>
        </w:tc>
      </w:tr>
      <w:tr>
        <w:trPr>
          <w:cantSplit w:val="false"/>
        </w:trPr>
        <w:tc>
          <w:tcPr>
            <w:tcW w:type="dxa" w:w="18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AI推進法とAI基本計画</w:t>
            </w:r>
          </w:p>
        </w:tc>
        <w:tc>
          <w:tcPr>
            <w:tcW w:type="dxa" w:w="43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AI推進法は2025年9月1日に全面施行（罰則のないソフトロー型）。2025年12月にAI基本計画と適正性指針が決定され、医療は重点的にAIを導入する分野に含まれている</w:t>
            </w:r>
          </w:p>
        </w:tc>
        <w:tc>
          <w:tcPr>
            <w:tcW w:type="dxa" w:w="3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追い風</w:t>
            </w:r>
            <w:r>
              <w:rPr>
                <w:sz w:val="17"/>
                <w:szCs w:val="17"/>
              </w:rPr>
              <w:t xml:space="preserve">：AI活用への政策的な後押しがある。適正性指針への準拠を訴求ポイントにできる</w:t>
            </w:r>
          </w:p>
        </w:tc>
      </w:tr>
      <w:tr>
        <w:trPr>
          <w:cantSplit w:val="false"/>
        </w:trPr>
        <w:tc>
          <w:tcPr>
            <w:tcW w:type="dxa" w:w="18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薬価制度</w:t>
            </w:r>
          </w:p>
        </w:tc>
        <w:tc>
          <w:tcPr>
            <w:tcW w:type="dxa" w:w="43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中間年改定は2025年度に実施され、2027年度も予定されている。業界団体（製薬協、PhRMA）はドラッグ・ラグ／ドラッグ・ロスの悪化を懸念している</w:t>
            </w:r>
          </w:p>
        </w:tc>
        <w:tc>
          <w:tcPr>
            <w:tcW w:type="dxa" w:w="364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逆風</w:t>
            </w:r>
            <w:r>
              <w:rPr>
                <w:sz w:val="17"/>
                <w:szCs w:val="17"/>
              </w:rPr>
              <w:t xml:space="preserve">：製薬企業の収益が圧迫され、コスト削減への圧力が強まる（ただし効率化ツールの需要を後押しする面もある）</w:t>
            </w:r>
          </w:p>
        </w:tc>
      </w:tr>
    </w:tbl>
    <w:p>
      <w:pPr>
        <w:spacing w:after="60"/>
      </w:pPr>
    </w:p>
    <w:p>
      <w:pPr>
        <w:pStyle w:val="Heading2"/>
      </w:pPr>
      <w:r>
        <w:t xml:space="preserve">Economic（経済）</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3"/>
        <w:gridCol w:w="5155"/>
        <w:gridCol w:w="2998"/>
      </w:tblGrid>
      <w:tr>
        <w:trPr>
          <w:tblHeader/>
        </w:trPr>
        <w:tc>
          <w:tcPr>
            <w:tcW w:type="dxa" w:w="171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要因</w:t>
            </w:r>
          </w:p>
        </w:tc>
        <w:tc>
          <w:tcPr>
            <w:tcW w:type="dxa" w:w="515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内容</w:t>
            </w:r>
          </w:p>
        </w:tc>
        <w:tc>
          <w:tcPr>
            <w:tcW w:type="dxa" w:w="299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事業への影響</w:t>
            </w:r>
          </w:p>
        </w:tc>
      </w:tr>
      <w:tr>
        <w:trPr>
          <w:cantSplit w:val="false"/>
        </w:trPr>
        <w:tc>
          <w:tcPr>
            <w:tcW w:type="dxa" w:w="17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薬価引き下げによる収益の圧迫</w:t>
            </w:r>
          </w:p>
        </w:tc>
        <w:tc>
          <w:tcPr>
            <w:tcW w:type="dxa" w:w="51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2025年度の中間年改定では、新薬創出加算の累積額控除が中間年改定として初めて行われ、対象品目は1年前倒しで薬価を引き下げられた。PhRMAはこれが「日本の事業環境について海外の製薬企業にマイナスの印象を与えた」と表明し、製薬協も「ドラッグ・ラグ／ロスの解消が後退しかねない」とコメントしている</w:t>
            </w:r>
          </w:p>
        </w:tc>
        <w:tc>
          <w:tcPr>
            <w:tcW w:type="dxa" w:w="29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逆風</w:t>
            </w:r>
            <w:r>
              <w:rPr>
                <w:sz w:val="17"/>
                <w:szCs w:val="17"/>
              </w:rPr>
              <w:t xml:space="preserve">：新薬の収益が前倒しで減り、MA部門の新規ツール予算も確保しにくくなる。導入の判断は慎重になる</w:t>
            </w:r>
          </w:p>
        </w:tc>
      </w:tr>
      <w:tr>
        <w:trPr>
          <w:cantSplit w:val="false"/>
        </w:trPr>
        <w:tc>
          <w:tcPr>
            <w:tcW w:type="dxa" w:w="17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人員削減と早期退職</w:t>
            </w:r>
          </w:p>
        </w:tc>
        <w:tc>
          <w:tcPr>
            <w:tcW w:type="dxa" w:w="51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2025年3月末時点のMR数は前年度より3,073人減り、減少率は6.6%と過去最大。武田、田辺三菱、住友ファーマ、協和キリン（432人応募）、サノフィなどで早期退職が相次いだ</w:t>
            </w:r>
          </w:p>
        </w:tc>
        <w:tc>
          <w:tcPr>
            <w:tcW w:type="dxa" w:w="29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機会</w:t>
            </w:r>
            <w:r>
              <w:rPr>
                <w:sz w:val="17"/>
                <w:szCs w:val="17"/>
              </w:rPr>
              <w:t xml:space="preserve">：人を減らしても業務の質を保つための効率化ツールへの需要が高まる</w:t>
            </w:r>
          </w:p>
        </w:tc>
      </w:tr>
      <w:tr>
        <w:trPr>
          <w:cantSplit w:val="false"/>
        </w:trPr>
        <w:tc>
          <w:tcPr>
            <w:tcW w:type="dxa" w:w="17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MA人員は横ばい</w:t>
            </w:r>
          </w:p>
        </w:tc>
        <w:tc>
          <w:tcPr>
            <w:tcW w:type="dxa" w:w="51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国内MAは3,155人（42社、2023年）。1社あたりの人数は横ばいで「成熟化」と指摘されている</w:t>
            </w:r>
          </w:p>
        </w:tc>
        <w:tc>
          <w:tcPr>
            <w:tcW w:type="dxa" w:w="29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機会</w:t>
            </w:r>
            <w:r>
              <w:rPr>
                <w:sz w:val="17"/>
                <w:szCs w:val="17"/>
              </w:rPr>
              <w:t xml:space="preserve">：人を増やせない中で、1人あたりの生産性向上に投資する余地がある</w:t>
            </w:r>
          </w:p>
        </w:tc>
      </w:tr>
      <w:tr>
        <w:trPr>
          <w:cantSplit w:val="false"/>
        </w:trPr>
        <w:tc>
          <w:tcPr>
            <w:tcW w:type="dxa" w:w="17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MAアウトソーシング市場の成長</w:t>
            </w:r>
          </w:p>
        </w:tc>
        <w:tc>
          <w:tcPr>
            <w:tcW w:type="dxa" w:w="51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世界で約22.5億ドル（2024年）、年13〜14%で成長</w:t>
            </w:r>
          </w:p>
        </w:tc>
        <w:tc>
          <w:tcPr>
            <w:tcW w:type="dxa" w:w="29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機会</w:t>
            </w:r>
            <w:r>
              <w:rPr>
                <w:sz w:val="17"/>
                <w:szCs w:val="17"/>
              </w:rPr>
              <w:t xml:space="preserve">：外部の専門性を使うための予算がある。AIで代わりを務めたり補完したりできる</w:t>
            </w:r>
          </w:p>
        </w:tc>
      </w:tr>
      <w:tr>
        <w:trPr>
          <w:cantSplit w:val="false"/>
        </w:trPr>
        <w:tc>
          <w:tcPr>
            <w:tcW w:type="dxa" w:w="17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製薬企業の投資余力の偏り</w:t>
            </w:r>
          </w:p>
        </w:tc>
        <w:tc>
          <w:tcPr>
            <w:tcW w:type="dxa" w:w="51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2023年度の研究開発費は、武田7,299億円、第一三共3,643億円、大塚HD 3,078億円。1,000億円以上を投じる企業は9社に限られ、上位に集中している</w:t>
            </w:r>
          </w:p>
        </w:tc>
        <w:tc>
          <w:tcPr>
            <w:tcW w:type="dxa" w:w="29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中立</w:t>
            </w:r>
            <w:r>
              <w:rPr>
                <w:sz w:val="17"/>
                <w:szCs w:val="17"/>
              </w:rPr>
              <w:t xml:space="preserve">：上位9社には投資余力があるが、中堅以下は予算が限られる。価格を中堅向けに設計する必要がある</w:t>
            </w:r>
          </w:p>
        </w:tc>
      </w:tr>
    </w:tbl>
    <w:p>
      <w:pPr>
        <w:spacing w:after="60"/>
      </w:pPr>
    </w:p>
    <w:p>
      <w:pPr>
        <w:pStyle w:val="Heading2"/>
      </w:pPr>
      <w:r>
        <w:t xml:space="preserve">Social（社会）</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9"/>
        <w:gridCol w:w="5206"/>
        <w:gridCol w:w="2831"/>
      </w:tblGrid>
      <w:tr>
        <w:trPr>
          <w:tblHeader/>
        </w:trPr>
        <w:tc>
          <w:tcPr>
            <w:tcW w:type="dxa" w:w="1829"/>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要因</w:t>
            </w:r>
          </w:p>
        </w:tc>
        <w:tc>
          <w:tcPr>
            <w:tcW w:type="dxa" w:w="520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内容</w:t>
            </w:r>
          </w:p>
        </w:tc>
        <w:tc>
          <w:tcPr>
            <w:tcW w:type="dxa" w:w="2831"/>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事業への影響</w:t>
            </w:r>
          </w:p>
        </w:tc>
      </w:tr>
      <w:tr>
        <w:trPr>
          <w:cantSplit w:val="false"/>
        </w:trPr>
        <w:tc>
          <w:tcPr>
            <w:tcW w:type="dxa" w:w="18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MAの役割の拡大</w:t>
            </w:r>
          </w:p>
        </w:tc>
        <w:tc>
          <w:tcPr>
            <w:tcW w:type="dxa" w:w="52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PwCの日本版MAサーベイ（2022年）は、社会が求める科学的エビデンスの増加に伴い、MAの役割が拡大していると指摘。人材の課題も独立した章で扱われている</w:t>
            </w:r>
          </w:p>
        </w:tc>
        <w:tc>
          <w:tcPr>
            <w:tcW w:type="dxa" w:w="28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機会</w:t>
            </w:r>
            <w:r>
              <w:rPr>
                <w:sz w:val="17"/>
                <w:szCs w:val="17"/>
              </w:rPr>
              <w:t xml:space="preserve">：MAに求められる仕事は増えているが、専門人材が足りない</w:t>
            </w:r>
          </w:p>
        </w:tc>
      </w:tr>
      <w:tr>
        <w:trPr>
          <w:cantSplit w:val="false"/>
        </w:trPr>
        <w:tc>
          <w:tcPr>
            <w:tcW w:type="dxa" w:w="18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MAへの理解がまだ十分でない</w:t>
            </w:r>
          </w:p>
        </w:tc>
        <w:tc>
          <w:tcPr>
            <w:tcW w:type="dxa" w:w="52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マッキンゼーの調査では、MSLとMRを明確に区別しているKOLは約70%にとどまる。医療関係者と製薬企業の間で、MAに求める活動に認識のずれがある</w:t>
            </w:r>
          </w:p>
        </w:tc>
        <w:tc>
          <w:tcPr>
            <w:tcW w:type="dxa" w:w="28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機会</w:t>
            </w:r>
            <w:r>
              <w:rPr>
                <w:sz w:val="17"/>
                <w:szCs w:val="17"/>
              </w:rPr>
              <w:t xml:space="preserve">：医療現場のニーズに合ったエビデンスを作る支援に価値がある</w:t>
            </w:r>
          </w:p>
        </w:tc>
      </w:tr>
      <w:tr>
        <w:trPr>
          <w:cantSplit w:val="false"/>
        </w:trPr>
        <w:tc>
          <w:tcPr>
            <w:tcW w:type="dxa" w:w="18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患者中心の医薬品開発</w:t>
            </w:r>
          </w:p>
        </w:tc>
        <w:tc>
          <w:tcPr>
            <w:tcW w:type="dxa" w:w="52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厚労科研の研究班が「臨床試験のためのPRO使用ガイダンス」を作成し、PROの報告基準であるCONSORT PRO拡張版の邦訳も出ている。日本臨床試験学会雑誌（2026年、31巻）は、検証済みの尺度で集めたPROデータがベネフィット・リスク評価や規制判断に活かされうると整理している</w:t>
            </w:r>
          </w:p>
        </w:tc>
        <w:tc>
          <w:tcPr>
            <w:tcW w:type="dxa" w:w="28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機会</w:t>
            </w:r>
            <w:r>
              <w:rPr>
                <w:sz w:val="17"/>
                <w:szCs w:val="17"/>
              </w:rPr>
              <w:t xml:space="preserve">：PROを使った研究デザインなど、新しい種類のエビデンスについての相談需要</w:t>
            </w:r>
          </w:p>
        </w:tc>
      </w:tr>
      <w:tr>
        <w:trPr>
          <w:cantSplit w:val="false"/>
        </w:trPr>
        <w:tc>
          <w:tcPr>
            <w:tcW w:type="dxa" w:w="18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MAの体系化と専門職化</w:t>
            </w:r>
          </w:p>
        </w:tc>
        <w:tc>
          <w:tcPr>
            <w:tcW w:type="dxa" w:w="52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日本初のMAの教科書『メディカルアフェアーズ学』が出版され、MAが学問として体系化されつつある</w:t>
            </w:r>
          </w:p>
        </w:tc>
        <w:tc>
          <w:tcPr>
            <w:tcW w:type="dxa" w:w="28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機会</w:t>
            </w:r>
            <w:r>
              <w:rPr>
                <w:sz w:val="17"/>
                <w:szCs w:val="17"/>
              </w:rPr>
              <w:t xml:space="preserve">：方法論が標準化されると、AIに組み込みやすくなる</w:t>
            </w:r>
          </w:p>
        </w:tc>
      </w:tr>
      <w:tr>
        <w:trPr>
          <w:cantSplit w:val="false"/>
        </w:trPr>
        <w:tc>
          <w:tcPr>
            <w:tcW w:type="dxa" w:w="182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AIへの期待と慎重さ</w:t>
            </w:r>
          </w:p>
        </w:tc>
        <w:tc>
          <w:tcPr>
            <w:tcW w:type="dxa" w:w="52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86%がAIで効率が上がると確信している一方、自社が先進的と答えたのは20%、最多は「慎重」の41%（MAPS 2026）</w:t>
            </w:r>
          </w:p>
        </w:tc>
        <w:tc>
          <w:tcPr>
            <w:tcW w:type="dxa" w:w="28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機会と障壁</w:t>
            </w:r>
            <w:r>
              <w:rPr>
                <w:sz w:val="17"/>
                <w:szCs w:val="17"/>
              </w:rPr>
              <w:t xml:space="preserve">：期待は高いが、信頼を得るまでに時間がかかる</w:t>
            </w:r>
          </w:p>
        </w:tc>
      </w:tr>
    </w:tbl>
    <w:p>
      <w:pPr>
        <w:spacing w:after="60"/>
      </w:pPr>
    </w:p>
    <w:p>
      <w:pPr>
        <w:pStyle w:val="Heading2"/>
      </w:pPr>
      <w:r>
        <w:t xml:space="preserve">Technological（技術）</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8"/>
        <w:gridCol w:w="4853"/>
        <w:gridCol w:w="3095"/>
      </w:tblGrid>
      <w:tr>
        <w:trPr>
          <w:tblHeader/>
        </w:trPr>
        <w:tc>
          <w:tcPr>
            <w:tcW w:type="dxa" w:w="191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要因</w:t>
            </w:r>
          </w:p>
        </w:tc>
        <w:tc>
          <w:tcPr>
            <w:tcW w:type="dxa" w:w="485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内容</w:t>
            </w:r>
          </w:p>
        </w:tc>
        <w:tc>
          <w:tcPr>
            <w:tcW w:type="dxa" w:w="309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事業への影響</w:t>
            </w:r>
          </w:p>
        </w:tc>
      </w:tr>
      <w:tr>
        <w:trPr>
          <w:cantSplit w:val="false"/>
        </w:trPr>
        <w:tc>
          <w:tcPr>
            <w:tcW w:type="dxa" w:w="19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汎用の生成AIが社内に普及</w:t>
            </w:r>
          </w:p>
        </w:tc>
        <w:tc>
          <w:tcPr>
            <w:tcW w:type="dxa" w:w="4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中外製薬は2023年8月にChatGPTを全社展開し、2024年11月には自社開発の「Chugai AI Assistant」を全社員に開放した。DX担当者は「使って当然の段階」と述べている</w:t>
            </w:r>
          </w:p>
        </w:tc>
        <w:tc>
          <w:tcPr>
            <w:tcW w:type="dxa" w:w="30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機会と脅威</w:t>
            </w:r>
            <w:r>
              <w:rPr>
                <w:sz w:val="17"/>
                <w:szCs w:val="17"/>
              </w:rPr>
              <w:t xml:space="preserve">：AIを使う習慣は根付いている。一方で、社内の汎用AIで「間に合っている」と見なされる可能性がある</w:t>
            </w:r>
          </w:p>
        </w:tc>
      </w:tr>
      <w:tr>
        <w:trPr>
          <w:cantSplit w:val="false"/>
        </w:trPr>
        <w:tc>
          <w:tcPr>
            <w:tcW w:type="dxa" w:w="19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「チャットから業務フローへ」の移行</w:t>
            </w:r>
          </w:p>
        </w:tc>
        <w:tc>
          <w:tcPr>
            <w:tcW w:type="dxa" w:w="4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MAPSは、汎用チャットの利用は場当たり的で、業務フローに組み込んだAIが次の段階だと論じている。本番運用が最も多いのは平易な要約と文献モニタリング（各44%）</w:t>
            </w:r>
          </w:p>
        </w:tc>
        <w:tc>
          <w:tcPr>
            <w:tcW w:type="dxa" w:w="30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機会</w:t>
            </w:r>
            <w:r>
              <w:rPr>
                <w:sz w:val="17"/>
                <w:szCs w:val="17"/>
              </w:rPr>
              <w:t xml:space="preserve">：エビデンス創出の上流工程は、まだ業務フロー化されていない</w:t>
            </w:r>
          </w:p>
        </w:tc>
      </w:tr>
      <w:tr>
        <w:trPr>
          <w:cantSplit w:val="false"/>
        </w:trPr>
        <w:tc>
          <w:tcPr>
            <w:tcW w:type="dxa" w:w="19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AIエージェントのライフサイエンスへの展開</w:t>
            </w:r>
          </w:p>
        </w:tc>
        <w:tc>
          <w:tcPr>
            <w:tcW w:type="dxa" w:w="4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Snowflakeの2026年予測では、ライフサイエンス領域のAIエージェントの用途として、データ品質の確保、規制文書の作成、メタデータガバナンスの管理が挙げられている。医療分野のエージェンティックAI市場は、2026年に約18.3億ドル、2034年に約197億ドルと予測されている</w:t>
            </w:r>
          </w:p>
        </w:tc>
        <w:tc>
          <w:tcPr>
            <w:tcW w:type="dxa" w:w="30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機会</w:t>
            </w:r>
            <w:r>
              <w:rPr>
                <w:sz w:val="17"/>
                <w:szCs w:val="17"/>
              </w:rPr>
              <w:t xml:space="preserve">：相談チャットから、作業を代行するエージェントへと発展させられる</w:t>
            </w:r>
          </w:p>
        </w:tc>
      </w:tr>
      <w:tr>
        <w:trPr>
          <w:cantSplit w:val="false"/>
        </w:trPr>
        <w:tc>
          <w:tcPr>
            <w:tcW w:type="dxa" w:w="19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RWDアルゴリズムの検証が不足</w:t>
            </w:r>
          </w:p>
        </w:tc>
        <w:tc>
          <w:tcPr>
            <w:tcW w:type="dxa" w:w="4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国内の製造販売後調査で、妥当性が検証されたアルゴリズムの使用率は12.7%にとどまる（AMED資料）</w:t>
            </w:r>
          </w:p>
        </w:tc>
        <w:tc>
          <w:tcPr>
            <w:tcW w:type="dxa" w:w="30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機会</w:t>
            </w:r>
            <w:r>
              <w:rPr>
                <w:sz w:val="17"/>
                <w:szCs w:val="17"/>
              </w:rPr>
              <w:t xml:space="preserve">：データの妥当性や研究デザインの質を高める支援に価値がある</w:t>
            </w:r>
          </w:p>
        </w:tc>
      </w:tr>
      <w:tr>
        <w:trPr>
          <w:cantSplit w:val="false"/>
        </w:trPr>
        <w:tc>
          <w:tcPr>
            <w:tcW w:type="dxa" w:w="19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出力品質の検証の枠組みがない</w:t>
            </w:r>
          </w:p>
        </w:tc>
        <w:tc>
          <w:tcPr>
            <w:tcW w:type="dxa" w:w="4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MAPSの2026年ラウンドテーブルでは、MA部門がAIを中核業務に組み込めない理由として、「検証の枠組み」「社内ガバナンス」「出力品質への確信」の3つの欠如が挙がった。NRIも、ハルシネーション（事実にもとづかない情報の生成）を製薬・医療領域の重大リスクとして挙げている</w:t>
            </w:r>
          </w:p>
        </w:tc>
        <w:tc>
          <w:tcPr>
            <w:tcW w:type="dxa" w:w="30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脅威</w:t>
            </w:r>
            <w:r>
              <w:rPr>
                <w:sz w:val="17"/>
                <w:szCs w:val="17"/>
              </w:rPr>
              <w:t xml:space="preserve">：誤った回答をすれば信頼を一気に失う。出典の明示と人によるレビューが必須</w:t>
            </w:r>
          </w:p>
        </w:tc>
      </w:tr>
      <w:tr>
        <w:trPr>
          <w:cantSplit w:val="false"/>
        </w:trPr>
        <w:tc>
          <w:tcPr>
            <w:tcW w:type="dxa" w:w="191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塩野義・日立の規制文書AI</w:t>
            </w:r>
          </w:p>
        </w:tc>
        <w:tc>
          <w:tcPr>
            <w:tcW w:type="dxa" w:w="48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塩野義製薬は、生成AIによる規制文書作成支援ソリューションを日立製作所へライセンス提供（2026年2月）</w:t>
            </w:r>
          </w:p>
        </w:tc>
        <w:tc>
          <w:tcPr>
            <w:tcW w:type="dxa" w:w="30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脅威</w:t>
            </w:r>
            <w:r>
              <w:rPr>
                <w:sz w:val="17"/>
                <w:szCs w:val="17"/>
              </w:rPr>
              <w:t xml:space="preserve">：製薬企業やITベンダーが自社開発し、外販する動きがある</w:t>
            </w:r>
          </w:p>
        </w:tc>
      </w:tr>
    </w:tbl>
    <w:p>
      <w:pPr>
        <w:spacing w:after="60"/>
      </w:pPr>
    </w:p>
    <w:p>
      <w:pPr>
        <w:pBdr>
          <w:bottom w:val="single" w:color="BFBFBF" w:sz="6" w:space="1"/>
        </w:pBdr>
        <w:spacing w:before="120" w:after="120"/>
      </w:pPr>
    </w:p>
    <w:p>
      <w:pPr>
        <w:pStyle w:val="Heading1"/>
      </w:pPr>
      <w:r>
        <w:t xml:space="preserve">2. SWOT分析</w:t>
      </w:r>
    </w:p>
    <w:p>
      <w:pPr>
        <w:pBdr>
          <w:left w:val="single" w:color="1F4E79" w:sz="18" w:space="8"/>
        </w:pBdr>
        <w:shd w:fill="EEF3F8" w:color="auto" w:val="clear"/>
        <w:spacing w:before="60" w:after="120" w:line="300"/>
        <w:ind w:left="200"/>
      </w:pPr>
      <w:r>
        <w:rPr>
          <w:sz w:val="19"/>
          <w:szCs w:val="19"/>
        </w:rPr>
        <w:t xml:space="preserve">機会（O）と脅威（T）は、上記のPEST分析から導いています（T⑤のみ3C分析の競合調査から導出）。強み（S）と弱み（W）は事業構想からの想定です。PESTの各要因とO・Tの対応は、表の下の「PEST→SWOT対応表」で確認できます。</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1"/>
        <w:gridCol w:w="4879"/>
        <w:gridCol w:w="4126"/>
      </w:tblGrid>
      <w:tr>
        <w:trPr>
          <w:tblHeader/>
        </w:trPr>
        <w:tc>
          <w:tcPr>
            <w:tcW w:type="dxa" w:w="861"/>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p>
        </w:tc>
        <w:tc>
          <w:tcPr>
            <w:tcW w:type="dxa" w:w="4879"/>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プラス要因</w:t>
            </w:r>
          </w:p>
        </w:tc>
        <w:tc>
          <w:tcPr>
            <w:tcW w:type="dxa" w:w="41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マイナス要因</w:t>
            </w:r>
          </w:p>
        </w:tc>
      </w:tr>
      <w:tr>
        <w:trPr>
          <w:cantSplit w:val="false"/>
        </w:trPr>
        <w:tc>
          <w:tcPr>
            <w:tcW w:type="dxa" w:w="8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内部環境</w:t>
            </w:r>
          </w:p>
        </w:tc>
        <w:tc>
          <w:tcPr>
            <w:tcW w:type="dxa" w:w="48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S：強み（Strengths）</w:t>
            </w:r>
          </w:p>
          <w:p>
            <w:pPr>
              <w:spacing w:after="20" w:line="276"/>
            </w:pPr>
            <w:r>
              <w:rPr>
                <w:sz w:val="17"/>
                <w:szCs w:val="17"/>
              </w:rPr>
              <w:t xml:space="preserve">① 日本の規制（臨床研究法、GPSP、販売情報提供活動ガイドライン、次世代医療基盤法）を前提にした回答設計</w:t>
            </w:r>
          </w:p>
          <w:p>
            <w:pPr>
              <w:spacing w:after="20" w:line="276"/>
            </w:pPr>
            <w:r>
              <w:rPr>
                <w:sz w:val="17"/>
                <w:szCs w:val="17"/>
              </w:rPr>
              <w:t xml:space="preserve">② 国内RWD（JMDC、MDV、MID-NET、仮名加工医療情報など）の特性を理解したデータソース選定の支援</w:t>
            </w:r>
          </w:p>
          <w:p>
            <w:pPr>
              <w:spacing w:after="20" w:line="276"/>
            </w:pPr>
            <w:r>
              <w:rPr>
                <w:sz w:val="17"/>
                <w:szCs w:val="17"/>
              </w:rPr>
              <w:t xml:space="preserve">③ ギャップ分析から研究デザイン、プロトコル骨子までの上流工程に特化した業務フロー</w:t>
            </w:r>
          </w:p>
          <w:p>
            <w:pPr>
              <w:spacing w:after="20" w:line="276"/>
            </w:pPr>
            <w:r>
              <w:rPr>
                <w:sz w:val="17"/>
                <w:szCs w:val="17"/>
              </w:rPr>
              <w:t xml:space="preserve">④ 出典の明示、監査ログ、プロモーションからの分離を最初から組み込んだガバナンス設計</w:t>
            </w:r>
          </w:p>
          <w:p>
            <w:pPr>
              <w:spacing w:after="20" w:line="276"/>
            </w:pPr>
            <w:r>
              <w:rPr>
                <w:sz w:val="17"/>
                <w:szCs w:val="17"/>
              </w:rPr>
              <w:t xml:space="preserve">⑤ 席単位の料金体系で、中堅製薬やバイオベンチャーも導入しやすい</w:t>
            </w:r>
          </w:p>
        </w:tc>
        <w:tc>
          <w:tcPr>
            <w:tcW w:type="dxa" w:w="4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W：弱み（Weaknesses）</w:t>
            </w:r>
          </w:p>
          <w:p>
            <w:pPr>
              <w:spacing w:after="20" w:line="276"/>
            </w:pPr>
            <w:r>
              <w:rPr>
                <w:sz w:val="17"/>
                <w:szCs w:val="17"/>
              </w:rPr>
              <w:t xml:space="preserve">① 新規参入のため、導入実績とブランドがない</w:t>
            </w:r>
          </w:p>
          <w:p>
            <w:pPr>
              <w:spacing w:after="20" w:line="276"/>
            </w:pPr>
            <w:r>
              <w:rPr>
                <w:sz w:val="17"/>
                <w:szCs w:val="17"/>
              </w:rPr>
              <w:t xml:space="preserve">② 大手製薬の厳しいセキュリティ審査・購買プロセスを通過した経験がない</w:t>
            </w:r>
          </w:p>
          <w:p>
            <w:pPr>
              <w:spacing w:after="20" w:line="276"/>
            </w:pPr>
            <w:r>
              <w:rPr>
                <w:sz w:val="17"/>
                <w:szCs w:val="17"/>
              </w:rPr>
              <w:t xml:space="preserve">③ 疫学・生物統計の専門家を社内に十分確保できるか不透明</w:t>
            </w:r>
          </w:p>
          <w:p>
            <w:pPr>
              <w:spacing w:after="20" w:line="276"/>
            </w:pPr>
            <w:r>
              <w:rPr>
                <w:sz w:val="17"/>
                <w:szCs w:val="17"/>
              </w:rPr>
              <w:t xml:space="preserve">④ 自社でRWDを保有しておらず、データ分析の実行基盤は他社に頼る</w:t>
            </w:r>
          </w:p>
          <w:p>
            <w:pPr>
              <w:spacing w:after="20" w:line="276"/>
            </w:pPr>
            <w:r>
              <w:rPr>
                <w:sz w:val="17"/>
                <w:szCs w:val="17"/>
              </w:rPr>
              <w:t xml:space="preserve">⑤ 国内のみでは市場が小さく（SAM 約12億円）、事業規模に限界がある</w:t>
            </w:r>
          </w:p>
        </w:tc>
      </w:tr>
      <w:tr>
        <w:trPr>
          <w:cantSplit w:val="false"/>
        </w:trPr>
        <w:tc>
          <w:tcPr>
            <w:tcW w:type="dxa" w:w="86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外部環境</w:t>
            </w:r>
          </w:p>
        </w:tc>
        <w:tc>
          <w:tcPr>
            <w:tcW w:type="dxa" w:w="48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O：機会（Opportunities）</w:t>
            </w:r>
          </w:p>
          <w:p>
            <w:pPr>
              <w:spacing w:after="20" w:line="276"/>
            </w:pPr>
            <w:r>
              <w:rPr>
                <w:sz w:val="17"/>
                <w:szCs w:val="17"/>
              </w:rPr>
              <w:t xml:space="preserve">① RWDの承認申請活用の明確化（2026年2月の局長通知、3月のQ&amp;A）による研究デザインの相談需要 </w:t>
            </w:r>
            <w:r>
              <w:rPr>
                <w:b/>
                <w:bCs/>
                <w:sz w:val="17"/>
                <w:szCs w:val="17"/>
              </w:rPr>
              <w:t xml:space="preserve">［P］</w:t>
            </w:r>
          </w:p>
          <w:p>
            <w:pPr>
              <w:spacing w:after="20" w:line="276"/>
            </w:pPr>
            <w:r>
              <w:rPr>
                <w:sz w:val="17"/>
                <w:szCs w:val="17"/>
              </w:rPr>
              <w:t xml:space="preserve">② 次世代医療基盤法の改正で、仮名加工医療情報という新たなデータ源が使えるようになった </w:t>
            </w:r>
            <w:r>
              <w:rPr>
                <w:b/>
                <w:bCs/>
                <w:sz w:val="17"/>
                <w:szCs w:val="17"/>
              </w:rPr>
              <w:t xml:space="preserve">［P］</w:t>
            </w:r>
          </w:p>
          <w:p>
            <w:pPr>
              <w:spacing w:after="20" w:line="276"/>
            </w:pPr>
            <w:r>
              <w:rPr>
                <w:sz w:val="17"/>
                <w:szCs w:val="17"/>
              </w:rPr>
              <w:t xml:space="preserve">③ 臨床研究法の改正（2025年5月施行）で適用範囲の判断が複雑になり、相談需要が生まれる </w:t>
            </w:r>
            <w:r>
              <w:rPr>
                <w:b/>
                <w:bCs/>
                <w:sz w:val="17"/>
                <w:szCs w:val="17"/>
              </w:rPr>
              <w:t xml:space="preserve">［P］</w:t>
            </w:r>
          </w:p>
          <w:p>
            <w:pPr>
              <w:spacing w:after="20" w:line="276"/>
            </w:pPr>
            <w:r>
              <w:rPr>
                <w:sz w:val="17"/>
                <w:szCs w:val="17"/>
              </w:rPr>
              <w:t xml:space="preserve">④ AI推進法・AI基本計画による医療AIへの政策的な後押し </w:t>
            </w:r>
            <w:r>
              <w:rPr>
                <w:b/>
                <w:bCs/>
                <w:sz w:val="17"/>
                <w:szCs w:val="17"/>
              </w:rPr>
              <w:t xml:space="preserve">［P］</w:t>
            </w:r>
          </w:p>
          <w:p>
            <w:pPr>
              <w:spacing w:after="20" w:line="276"/>
            </w:pPr>
            <w:r>
              <w:rPr>
                <w:sz w:val="17"/>
                <w:szCs w:val="17"/>
              </w:rPr>
              <w:t xml:space="preserve">⑤ MR削減・早期退職とMA人員の横ばいによる、生産性向上ツールへのニーズ </w:t>
            </w:r>
            <w:r>
              <w:rPr>
                <w:b/>
                <w:bCs/>
                <w:sz w:val="17"/>
                <w:szCs w:val="17"/>
              </w:rPr>
              <w:t xml:space="preserve">［E］</w:t>
            </w:r>
          </w:p>
          <w:p>
            <w:pPr>
              <w:spacing w:after="20" w:line="276"/>
            </w:pPr>
            <w:r>
              <w:rPr>
                <w:sz w:val="17"/>
                <w:szCs w:val="17"/>
              </w:rPr>
              <w:t xml:space="preserve">⑥ MAアウトソーシング市場の年13〜14%成長 </w:t>
            </w:r>
            <w:r>
              <w:rPr>
                <w:b/>
                <w:bCs/>
                <w:sz w:val="17"/>
                <w:szCs w:val="17"/>
              </w:rPr>
              <w:t xml:space="preserve">［E］</w:t>
            </w:r>
          </w:p>
          <w:p>
            <w:pPr>
              <w:spacing w:after="20" w:line="276"/>
            </w:pPr>
            <w:r>
              <w:rPr>
                <w:sz w:val="17"/>
                <w:szCs w:val="17"/>
              </w:rPr>
              <w:t xml:space="preserve">⑦ MAの役割拡大、MAと医療現場の認識のずれ、患者中心化（PROガイダンス）、方法論の体系化（『メディカルアフェアーズ学』）による、エビデンス創出の相談需要 </w:t>
            </w:r>
            <w:r>
              <w:rPr>
                <w:b/>
                <w:bCs/>
                <w:sz w:val="17"/>
                <w:szCs w:val="17"/>
              </w:rPr>
              <w:t xml:space="preserve">［S］</w:t>
            </w:r>
          </w:p>
          <w:p>
            <w:pPr>
              <w:spacing w:after="20" w:line="276"/>
            </w:pPr>
            <w:r>
              <w:rPr>
                <w:sz w:val="17"/>
                <w:szCs w:val="17"/>
              </w:rPr>
              <w:t xml:space="preserve">⑧ AIへの高い期待（86%）と社内での生成AI利用の定着（中外製薬など）に対し、エビデンス創出の上流工程はまだ業務フロー化されていない </w:t>
            </w:r>
            <w:r>
              <w:rPr>
                <w:b/>
                <w:bCs/>
                <w:sz w:val="17"/>
                <w:szCs w:val="17"/>
              </w:rPr>
              <w:t xml:space="preserve">［S・T］</w:t>
            </w:r>
          </w:p>
          <w:p>
            <w:pPr>
              <w:spacing w:after="20" w:line="276"/>
            </w:pPr>
            <w:r>
              <w:rPr>
                <w:sz w:val="17"/>
                <w:szCs w:val="17"/>
              </w:rPr>
              <w:t xml:space="preserve">⑨ 国内の製造販売後調査で、妥当性が検証されたRWDアルゴリズムの使用率が12.7%にとどまり、研究デザインの質を高める支援が求められる </w:t>
            </w:r>
            <w:r>
              <w:rPr>
                <w:b/>
                <w:bCs/>
                <w:sz w:val="17"/>
                <w:szCs w:val="17"/>
              </w:rPr>
              <w:t xml:space="preserve">［T］</w:t>
            </w:r>
          </w:p>
          <w:p>
            <w:pPr>
              <w:spacing w:after="20" w:line="276"/>
            </w:pPr>
            <w:r>
              <w:rPr>
                <w:sz w:val="17"/>
                <w:szCs w:val="17"/>
              </w:rPr>
              <w:t xml:space="preserve">⑩ ライフサイエンス領域でのAIエージェントの用途拡大。相談チャットから作業代行への発展余地がある </w:t>
            </w:r>
            <w:r>
              <w:rPr>
                <w:b/>
                <w:bCs/>
                <w:sz w:val="17"/>
                <w:szCs w:val="17"/>
              </w:rPr>
              <w:t xml:space="preserve">［T］</w:t>
            </w:r>
          </w:p>
        </w:tc>
        <w:tc>
          <w:tcPr>
            <w:tcW w:type="dxa" w:w="4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T：脅威（Threats）</w:t>
            </w:r>
          </w:p>
          <w:p>
            <w:pPr>
              <w:spacing w:after="20" w:line="276"/>
            </w:pPr>
            <w:r>
              <w:rPr>
                <w:sz w:val="17"/>
                <w:szCs w:val="17"/>
              </w:rPr>
              <w:t xml:space="preserve">① 薬価引き下げ（2025年度・2027年度の中間年改定）による予算圧迫と、導入判断の慎重化。研究開発費1,000億円超は9社のみで、中堅以下は予算が限られる </w:t>
            </w:r>
            <w:r>
              <w:rPr>
                <w:b/>
                <w:bCs/>
                <w:sz w:val="17"/>
                <w:szCs w:val="17"/>
              </w:rPr>
              <w:t xml:space="preserve">［P・E］</w:t>
            </w:r>
          </w:p>
          <w:p>
            <w:pPr>
              <w:spacing w:after="20" w:line="276"/>
            </w:pPr>
            <w:r>
              <w:rPr>
                <w:sz w:val="17"/>
                <w:szCs w:val="17"/>
              </w:rPr>
              <w:t xml:space="preserve">② 販売情報提供活動ガイドラインへの抵触リスクと、企業の過度な慎重姿勢 </w:t>
            </w:r>
            <w:r>
              <w:rPr>
                <w:b/>
                <w:bCs/>
                <w:sz w:val="17"/>
                <w:szCs w:val="17"/>
              </w:rPr>
              <w:t xml:space="preserve">［P］</w:t>
            </w:r>
          </w:p>
          <w:p>
            <w:pPr>
              <w:spacing w:after="20" w:line="276"/>
            </w:pPr>
            <w:r>
              <w:rPr>
                <w:sz w:val="17"/>
                <w:szCs w:val="17"/>
              </w:rPr>
              <w:t xml:space="preserve">③ 社内の汎用生成AI（Chugai AI Assistantなど）で「足りる」と見なされる </w:t>
            </w:r>
            <w:r>
              <w:rPr>
                <w:b/>
                <w:bCs/>
                <w:sz w:val="17"/>
                <w:szCs w:val="17"/>
              </w:rPr>
              <w:t xml:space="preserve">［T］</w:t>
            </w:r>
          </w:p>
          <w:p>
            <w:pPr>
              <w:spacing w:after="20" w:line="276"/>
            </w:pPr>
            <w:r>
              <w:rPr>
                <w:sz w:val="17"/>
                <w:szCs w:val="17"/>
              </w:rPr>
              <w:t xml:space="preserve">④ ハルシネーションによる信頼の失墜と、検証の枠組み・ガバナンスがないことによる導入の停滞。臨床研究法の適用判断を誤った場合の責任リスクも含む </w:t>
            </w:r>
            <w:r>
              <w:rPr>
                <w:b/>
                <w:bCs/>
                <w:sz w:val="17"/>
                <w:szCs w:val="17"/>
              </w:rPr>
              <w:t xml:space="preserve">［P・S・T］</w:t>
            </w:r>
          </w:p>
          <w:p>
            <w:pPr>
              <w:spacing w:after="20" w:line="276"/>
            </w:pPr>
            <w:r>
              <w:rPr>
                <w:sz w:val="17"/>
                <w:szCs w:val="17"/>
              </w:rPr>
              <w:t xml:space="preserve">⑤ 海外勢（Sorcero、Within3、Genesis EVID AI）の日本進出や日本語対応 </w:t>
            </w:r>
            <w:r>
              <w:rPr>
                <w:b/>
                <w:bCs/>
                <w:sz w:val="17"/>
                <w:szCs w:val="17"/>
              </w:rPr>
              <w:t xml:space="preserve">［3C］</w:t>
            </w:r>
          </w:p>
          <w:p>
            <w:pPr>
              <w:spacing w:after="20" w:line="276"/>
            </w:pPr>
            <w:r>
              <w:rPr>
                <w:sz w:val="17"/>
                <w:szCs w:val="17"/>
              </w:rPr>
              <w:t xml:space="preserve">⑥ 製薬企業やITベンダーによる自社開発・外販（例：塩野義×日立） </w:t>
            </w:r>
            <w:r>
              <w:rPr>
                <w:b/>
                <w:bCs/>
                <w:sz w:val="17"/>
                <w:szCs w:val="17"/>
              </w:rPr>
              <w:t xml:space="preserve">［T］</w:t>
            </w:r>
          </w:p>
          <w:p>
            <w:pPr>
              <w:spacing w:after="20" w:line="276"/>
            </w:pPr>
            <w:r>
              <w:rPr>
                <w:sz w:val="17"/>
                <w:szCs w:val="17"/>
              </w:rPr>
              <w:t xml:space="preserve">⑦ ドラッグ・ロスの懸念（PhRMA・製薬協）から、外資系の日本法人のMA予算が縮小するおそれ（推測） </w:t>
            </w:r>
            <w:r>
              <w:rPr>
                <w:b/>
                <w:bCs/>
                <w:sz w:val="17"/>
                <w:szCs w:val="17"/>
              </w:rPr>
              <w:t xml:space="preserve">［P・E］</w:t>
            </w:r>
          </w:p>
        </w:tc>
      </w:tr>
    </w:tbl>
    <w:p>
      <w:pPr>
        <w:spacing w:after="60"/>
      </w:pPr>
    </w:p>
    <w:p>
      <w:pPr>
        <w:spacing w:after="120" w:line="300"/>
      </w:pPr>
      <w:r>
        <w:t xml:space="preserve">※ ［P］Political　［E］Economic　［S］Social　［T］Technological　［3C］3C分析の競合調査から導出</w:t>
      </w:r>
    </w:p>
    <w:p>
      <w:pPr>
        <w:pStyle w:val="Heading2"/>
      </w:pPr>
      <w:r>
        <w:t xml:space="preserve">PEST→SWOT対応表</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2"/>
        <w:gridCol w:w="3560"/>
        <w:gridCol w:w="3154"/>
      </w:tblGrid>
      <w:tr>
        <w:trPr>
          <w:tblHeader/>
        </w:trPr>
        <w:tc>
          <w:tcPr>
            <w:tcW w:type="dxa" w:w="3152"/>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PEST</w:t>
            </w:r>
          </w:p>
        </w:tc>
        <w:tc>
          <w:tcPr>
            <w:tcW w:type="dxa" w:w="356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要因</w:t>
            </w:r>
          </w:p>
        </w:tc>
        <w:tc>
          <w:tcPr>
            <w:tcW w:type="dxa" w:w="3154"/>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反映先</w:t>
            </w:r>
          </w:p>
        </w:tc>
      </w:tr>
      <w:tr>
        <w:trPr>
          <w:cantSplit w:val="false"/>
        </w:trPr>
        <w:tc>
          <w:tcPr>
            <w:tcW w:type="dxa" w:w="31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P</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RWDの承認申請への活用が明確化</w:t>
            </w:r>
          </w:p>
        </w:tc>
        <w:tc>
          <w:tcPr>
            <w:tcW w:type="dxa" w:w="31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O①</w:t>
            </w:r>
          </w:p>
        </w:tc>
      </w:tr>
      <w:tr>
        <w:trPr>
          <w:cantSplit w:val="false"/>
        </w:trPr>
        <w:tc>
          <w:tcPr>
            <w:tcW w:type="dxa" w:w="31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P</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次世代医療基盤法の改正</w:t>
            </w:r>
          </w:p>
        </w:tc>
        <w:tc>
          <w:tcPr>
            <w:tcW w:type="dxa" w:w="31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O②</w:t>
            </w:r>
          </w:p>
        </w:tc>
      </w:tr>
      <w:tr>
        <w:trPr>
          <w:cantSplit w:val="false"/>
        </w:trPr>
        <w:tc>
          <w:tcPr>
            <w:tcW w:type="dxa" w:w="31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P</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臨床研究法の改正</w:t>
            </w:r>
          </w:p>
        </w:tc>
        <w:tc>
          <w:tcPr>
            <w:tcW w:type="dxa" w:w="31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O③、T④</w:t>
            </w:r>
          </w:p>
        </w:tc>
      </w:tr>
      <w:tr>
        <w:trPr>
          <w:cantSplit w:val="false"/>
        </w:trPr>
        <w:tc>
          <w:tcPr>
            <w:tcW w:type="dxa" w:w="31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P</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販売情報提供活動ガイドライン</w:t>
            </w:r>
          </w:p>
        </w:tc>
        <w:tc>
          <w:tcPr>
            <w:tcW w:type="dxa" w:w="31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T②</w:t>
            </w:r>
          </w:p>
        </w:tc>
      </w:tr>
      <w:tr>
        <w:trPr>
          <w:cantSplit w:val="false"/>
        </w:trPr>
        <w:tc>
          <w:tcPr>
            <w:tcW w:type="dxa" w:w="31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P</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AI推進法とAI基本計画</w:t>
            </w:r>
          </w:p>
        </w:tc>
        <w:tc>
          <w:tcPr>
            <w:tcW w:type="dxa" w:w="31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O④</w:t>
            </w:r>
          </w:p>
        </w:tc>
      </w:tr>
      <w:tr>
        <w:trPr>
          <w:cantSplit w:val="false"/>
        </w:trPr>
        <w:tc>
          <w:tcPr>
            <w:tcW w:type="dxa" w:w="31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P</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薬価制度</w:t>
            </w:r>
          </w:p>
        </w:tc>
        <w:tc>
          <w:tcPr>
            <w:tcW w:type="dxa" w:w="31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T①、T⑦</w:t>
            </w:r>
          </w:p>
        </w:tc>
      </w:tr>
      <w:tr>
        <w:trPr>
          <w:cantSplit w:val="false"/>
        </w:trPr>
        <w:tc>
          <w:tcPr>
            <w:tcW w:type="dxa" w:w="31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E</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薬価引き下げによる収益の圧迫</w:t>
            </w:r>
          </w:p>
        </w:tc>
        <w:tc>
          <w:tcPr>
            <w:tcW w:type="dxa" w:w="31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T①、T⑦</w:t>
            </w:r>
          </w:p>
        </w:tc>
      </w:tr>
      <w:tr>
        <w:trPr>
          <w:cantSplit w:val="false"/>
        </w:trPr>
        <w:tc>
          <w:tcPr>
            <w:tcW w:type="dxa" w:w="31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E</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人員削減と早期退職</w:t>
            </w:r>
          </w:p>
        </w:tc>
        <w:tc>
          <w:tcPr>
            <w:tcW w:type="dxa" w:w="31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O⑤</w:t>
            </w:r>
          </w:p>
        </w:tc>
      </w:tr>
      <w:tr>
        <w:trPr>
          <w:cantSplit w:val="false"/>
        </w:trPr>
        <w:tc>
          <w:tcPr>
            <w:tcW w:type="dxa" w:w="31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E</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MA人員は横ばい</w:t>
            </w:r>
          </w:p>
        </w:tc>
        <w:tc>
          <w:tcPr>
            <w:tcW w:type="dxa" w:w="31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O⑤</w:t>
            </w:r>
          </w:p>
        </w:tc>
      </w:tr>
      <w:tr>
        <w:trPr>
          <w:cantSplit w:val="false"/>
        </w:trPr>
        <w:tc>
          <w:tcPr>
            <w:tcW w:type="dxa" w:w="31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E</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MAアウトソーシング市場の成長</w:t>
            </w:r>
          </w:p>
        </w:tc>
        <w:tc>
          <w:tcPr>
            <w:tcW w:type="dxa" w:w="31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O⑥</w:t>
            </w:r>
          </w:p>
        </w:tc>
      </w:tr>
      <w:tr>
        <w:trPr>
          <w:cantSplit w:val="false"/>
        </w:trPr>
        <w:tc>
          <w:tcPr>
            <w:tcW w:type="dxa" w:w="31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E</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製薬企業の投資余力の偏り</w:t>
            </w:r>
          </w:p>
        </w:tc>
        <w:tc>
          <w:tcPr>
            <w:tcW w:type="dxa" w:w="31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T①</w:t>
            </w:r>
          </w:p>
        </w:tc>
      </w:tr>
      <w:tr>
        <w:trPr>
          <w:cantSplit w:val="false"/>
        </w:trPr>
        <w:tc>
          <w:tcPr>
            <w:tcW w:type="dxa" w:w="31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S</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MAの役割の拡大</w:t>
            </w:r>
          </w:p>
        </w:tc>
        <w:tc>
          <w:tcPr>
            <w:tcW w:type="dxa" w:w="31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O⑦</w:t>
            </w:r>
          </w:p>
        </w:tc>
      </w:tr>
      <w:tr>
        <w:trPr>
          <w:cantSplit w:val="false"/>
        </w:trPr>
        <w:tc>
          <w:tcPr>
            <w:tcW w:type="dxa" w:w="31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S</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MAへの理解がまだ十分でない</w:t>
            </w:r>
          </w:p>
        </w:tc>
        <w:tc>
          <w:tcPr>
            <w:tcW w:type="dxa" w:w="31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O⑦</w:t>
            </w:r>
          </w:p>
        </w:tc>
      </w:tr>
      <w:tr>
        <w:trPr>
          <w:cantSplit w:val="false"/>
        </w:trPr>
        <w:tc>
          <w:tcPr>
            <w:tcW w:type="dxa" w:w="31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S</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患者中心の医薬品開発</w:t>
            </w:r>
          </w:p>
        </w:tc>
        <w:tc>
          <w:tcPr>
            <w:tcW w:type="dxa" w:w="31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O⑦</w:t>
            </w:r>
          </w:p>
        </w:tc>
      </w:tr>
      <w:tr>
        <w:trPr>
          <w:cantSplit w:val="false"/>
        </w:trPr>
        <w:tc>
          <w:tcPr>
            <w:tcW w:type="dxa" w:w="31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S</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MAの体系化と専門職化</w:t>
            </w:r>
          </w:p>
        </w:tc>
        <w:tc>
          <w:tcPr>
            <w:tcW w:type="dxa" w:w="31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O⑦</w:t>
            </w:r>
          </w:p>
        </w:tc>
      </w:tr>
      <w:tr>
        <w:trPr>
          <w:cantSplit w:val="false"/>
        </w:trPr>
        <w:tc>
          <w:tcPr>
            <w:tcW w:type="dxa" w:w="31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S</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AIへの期待と慎重さ</w:t>
            </w:r>
          </w:p>
        </w:tc>
        <w:tc>
          <w:tcPr>
            <w:tcW w:type="dxa" w:w="31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O⑧、T④</w:t>
            </w:r>
          </w:p>
        </w:tc>
      </w:tr>
      <w:tr>
        <w:trPr>
          <w:cantSplit w:val="false"/>
        </w:trPr>
        <w:tc>
          <w:tcPr>
            <w:tcW w:type="dxa" w:w="31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T</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汎用の生成AIが社内に普及</w:t>
            </w:r>
          </w:p>
        </w:tc>
        <w:tc>
          <w:tcPr>
            <w:tcW w:type="dxa" w:w="31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O⑧、T③</w:t>
            </w:r>
          </w:p>
        </w:tc>
      </w:tr>
      <w:tr>
        <w:trPr>
          <w:cantSplit w:val="false"/>
        </w:trPr>
        <w:tc>
          <w:tcPr>
            <w:tcW w:type="dxa" w:w="31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T</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「チャットから業務フローへ」の移行</w:t>
            </w:r>
          </w:p>
        </w:tc>
        <w:tc>
          <w:tcPr>
            <w:tcW w:type="dxa" w:w="31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O⑧</w:t>
            </w:r>
          </w:p>
        </w:tc>
      </w:tr>
      <w:tr>
        <w:trPr>
          <w:cantSplit w:val="false"/>
        </w:trPr>
        <w:tc>
          <w:tcPr>
            <w:tcW w:type="dxa" w:w="31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T</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AIエージェントのライフサイエンスへの展開</w:t>
            </w:r>
          </w:p>
        </w:tc>
        <w:tc>
          <w:tcPr>
            <w:tcW w:type="dxa" w:w="31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O⑩</w:t>
            </w:r>
          </w:p>
        </w:tc>
      </w:tr>
      <w:tr>
        <w:trPr>
          <w:cantSplit w:val="false"/>
        </w:trPr>
        <w:tc>
          <w:tcPr>
            <w:tcW w:type="dxa" w:w="31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T</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RWDアルゴリズムの検証が不足</w:t>
            </w:r>
          </w:p>
        </w:tc>
        <w:tc>
          <w:tcPr>
            <w:tcW w:type="dxa" w:w="31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O⑨</w:t>
            </w:r>
          </w:p>
        </w:tc>
      </w:tr>
      <w:tr>
        <w:trPr>
          <w:cantSplit w:val="false"/>
        </w:trPr>
        <w:tc>
          <w:tcPr>
            <w:tcW w:type="dxa" w:w="31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T</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出力品質の検証の枠組みがない</w:t>
            </w:r>
          </w:p>
        </w:tc>
        <w:tc>
          <w:tcPr>
            <w:tcW w:type="dxa" w:w="31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T④</w:t>
            </w:r>
          </w:p>
        </w:tc>
      </w:tr>
      <w:tr>
        <w:trPr>
          <w:cantSplit w:val="false"/>
        </w:trPr>
        <w:tc>
          <w:tcPr>
            <w:tcW w:type="dxa" w:w="31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T</w:t>
            </w:r>
          </w:p>
        </w:tc>
        <w:tc>
          <w:tcPr>
            <w:tcW w:type="dxa" w:w="3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塩野義・日立の規制文書AI</w:t>
            </w:r>
          </w:p>
        </w:tc>
        <w:tc>
          <w:tcPr>
            <w:tcW w:type="dxa" w:w="315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T⑥</w:t>
            </w:r>
          </w:p>
        </w:tc>
      </w:tr>
    </w:tbl>
    <w:p>
      <w:pPr>
        <w:spacing w:after="60"/>
      </w:pPr>
    </w:p>
    <w:p>
      <w:pPr>
        <w:pStyle w:val="Heading2"/>
      </w:pPr>
      <w:r>
        <w:t xml:space="preserve">クロスSWOT（戦略の方向性）</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7"/>
        <w:gridCol w:w="4656"/>
        <w:gridCol w:w="3703"/>
      </w:tblGrid>
      <w:tr>
        <w:trPr>
          <w:tblHeader/>
        </w:trPr>
        <w:tc>
          <w:tcPr>
            <w:tcW w:type="dxa" w:w="1507"/>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p>
        </w:tc>
        <w:tc>
          <w:tcPr>
            <w:tcW w:type="dxa" w:w="465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O：機会</w:t>
            </w:r>
          </w:p>
        </w:tc>
        <w:tc>
          <w:tcPr>
            <w:tcW w:type="dxa" w:w="370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T：脅威</w:t>
            </w:r>
          </w:p>
        </w:tc>
      </w:tr>
      <w:tr>
        <w:trPr>
          <w:cantSplit w:val="false"/>
        </w:trPr>
        <w:tc>
          <w:tcPr>
            <w:tcW w:type="dxa" w:w="15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S：強み</w:t>
            </w:r>
          </w:p>
        </w:tc>
        <w:tc>
          <w:tcPr>
            <w:tcW w:type="dxa" w:w="46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積極攻勢（S×O）</w:t>
            </w:r>
          </w:p>
          <w:p>
            <w:pPr>
              <w:spacing w:after="20" w:line="276"/>
            </w:pPr>
            <w:r>
              <w:rPr>
                <w:sz w:val="17"/>
                <w:szCs w:val="17"/>
              </w:rPr>
              <w:t xml:space="preserve">・2026年のRWD関連通知と仮名加工医療情報に特化した「国内RWD研究デザイン相談」を主力ユースケースにする（S①②×O①②）</w:t>
            </w:r>
          </w:p>
          <w:p>
            <w:pPr>
              <w:spacing w:after="20" w:line="276"/>
            </w:pPr>
            <w:r>
              <w:rPr>
                <w:sz w:val="17"/>
                <w:szCs w:val="17"/>
              </w:rPr>
              <w:t xml:space="preserve">・臨床研究法改正の適用判断を支援するテンプレートを用意する（S①×O③）</w:t>
            </w:r>
          </w:p>
          <w:p>
            <w:pPr>
              <w:spacing w:after="20" w:line="276"/>
            </w:pPr>
            <w:r>
              <w:rPr>
                <w:sz w:val="17"/>
                <w:szCs w:val="17"/>
              </w:rPr>
              <w:t xml:space="preserve">・RWDアルゴリズムの妥当性検証の有無をチェックする機能を入れ、研究デザインの質を担保する（S②③×O⑨）</w:t>
            </w:r>
          </w:p>
        </w:tc>
        <w:tc>
          <w:tcPr>
            <w:tcW w:type="dxa" w:w="37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差別化（S×T）</w:t>
            </w:r>
          </w:p>
          <w:p>
            <w:pPr>
              <w:spacing w:after="20" w:line="276"/>
            </w:pPr>
            <w:r>
              <w:rPr>
                <w:sz w:val="17"/>
                <w:szCs w:val="17"/>
              </w:rPr>
              <w:t xml:space="preserve">・出典の明示、監査ログ、専門家レビューで「汎用AIでは代わりにならない」根拠を示す（S④×T③④）</w:t>
            </w:r>
          </w:p>
          <w:p>
            <w:pPr>
              <w:spacing w:after="20" w:line="276"/>
            </w:pPr>
            <w:r>
              <w:rPr>
                <w:sz w:val="17"/>
                <w:szCs w:val="17"/>
              </w:rPr>
              <w:t xml:space="preserve">・プロモーション分離の設計を、法務・コンプライアンス部門向けの資料にする（S④×T②）</w:t>
            </w:r>
          </w:p>
        </w:tc>
      </w:tr>
      <w:tr>
        <w:trPr>
          <w:cantSplit w:val="false"/>
        </w:trPr>
        <w:tc>
          <w:tcPr>
            <w:tcW w:type="dxa" w:w="150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W：弱み</w:t>
            </w:r>
          </w:p>
        </w:tc>
        <w:tc>
          <w:tcPr>
            <w:tcW w:type="dxa" w:w="46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改善（W×O）</w:t>
            </w:r>
          </w:p>
          <w:p>
            <w:pPr>
              <w:spacing w:after="20" w:line="276"/>
            </w:pPr>
            <w:r>
              <w:rPr>
                <w:sz w:val="17"/>
                <w:szCs w:val="17"/>
              </w:rPr>
              <w:t xml:space="preserve">・RWDベンダーやCROと提携し、データと分析実行を補う（W④×O①⑥）</w:t>
            </w:r>
          </w:p>
          <w:p>
            <w:pPr>
              <w:spacing w:after="20" w:line="276"/>
            </w:pPr>
            <w:r>
              <w:rPr>
                <w:sz w:val="17"/>
                <w:szCs w:val="17"/>
              </w:rPr>
              <w:t xml:space="preserve">・2〜3社でPoCを行い、導入実績を作る（W①×O⑤）</w:t>
            </w:r>
          </w:p>
        </w:tc>
        <w:tc>
          <w:tcPr>
            <w:tcW w:type="dxa" w:w="370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防御・撤退回避（W×T）</w:t>
            </w:r>
          </w:p>
          <w:p>
            <w:pPr>
              <w:spacing w:after="20" w:line="276"/>
            </w:pPr>
            <w:r>
              <w:rPr>
                <w:sz w:val="17"/>
                <w:szCs w:val="17"/>
              </w:rPr>
              <w:t xml:space="preserve">・中堅製薬やバイオベンチャーから攻め、大手の長い購買プロセスへの依存を避ける（W②×T①）</w:t>
            </w:r>
          </w:p>
          <w:p>
            <w:pPr>
              <w:spacing w:after="20" w:line="276"/>
            </w:pPr>
            <w:r>
              <w:rPr>
                <w:sz w:val="17"/>
                <w:szCs w:val="17"/>
              </w:rPr>
              <w:t xml:space="preserve">・中期的にアジア展開や海外勢との提携を検討し、国内市場の小ささを補う（W⑤×T⑤）</w:t>
            </w:r>
          </w:p>
        </w:tc>
      </w:tr>
    </w:tbl>
    <w:p>
      <w:pPr>
        <w:spacing w:after="60"/>
      </w:pPr>
    </w:p>
    <w:p>
      <w:pPr>
        <w:pBdr>
          <w:bottom w:val="single" w:color="BFBFBF" w:sz="6" w:space="1"/>
        </w:pBdr>
        <w:spacing w:before="120" w:after="120"/>
      </w:pPr>
    </w:p>
    <w:p>
      <w:pPr>
        <w:pStyle w:val="Heading1"/>
      </w:pPr>
      <w:r>
        <w:t xml:space="preserve">3. 3C分析</w:t>
      </w:r>
    </w:p>
    <w:p>
      <w:pPr>
        <w:pStyle w:val="Heading2"/>
      </w:pPr>
      <w:r>
        <w:t xml:space="preserve">Customer（市場・顧客）</w:t>
      </w:r>
    </w:p>
    <w:p>
      <w:pPr>
        <w:spacing w:after="120" w:line="300"/>
      </w:pPr>
      <w:r>
        <w:rPr>
          <w:b/>
          <w:bCs/>
        </w:rPr>
        <w:t xml:space="preserve">市場規模</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41"/>
        <w:gridCol w:w="4153"/>
        <w:gridCol w:w="2872"/>
      </w:tblGrid>
      <w:tr>
        <w:trPr>
          <w:tblHeader/>
        </w:trPr>
        <w:tc>
          <w:tcPr>
            <w:tcW w:type="dxa" w:w="2841"/>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区分</w:t>
            </w:r>
          </w:p>
        </w:tc>
        <w:tc>
          <w:tcPr>
            <w:tcW w:type="dxa" w:w="415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規模</w:t>
            </w:r>
          </w:p>
        </w:tc>
        <w:tc>
          <w:tcPr>
            <w:tcW w:type="dxa" w:w="2872"/>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出典・前提</w:t>
            </w:r>
          </w:p>
        </w:tc>
      </w:tr>
      <w:tr>
        <w:trPr>
          <w:cantSplit w:val="false"/>
        </w:trPr>
        <w:tc>
          <w:tcPr>
            <w:tcW w:type="dxa" w:w="28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世界のMAアウトソーシング市場</w:t>
            </w:r>
          </w:p>
        </w:tc>
        <w:tc>
          <w:tcPr>
            <w:tcW w:type="dxa" w:w="41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約22.5億ドル（2024年）→ 約80.7億ドル（2034年）、CAGR 13.64%</w:t>
            </w:r>
          </w:p>
        </w:tc>
        <w:tc>
          <w:tcPr>
            <w:tcW w:type="dxa" w:w="2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Towards Healthcare</w:t>
            </w:r>
          </w:p>
        </w:tc>
      </w:tr>
      <w:tr>
        <w:trPr>
          <w:cantSplit w:val="false"/>
        </w:trPr>
        <w:tc>
          <w:tcPr>
            <w:tcW w:type="dxa" w:w="28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国内のMA人員</w:t>
            </w:r>
          </w:p>
        </w:tc>
        <w:tc>
          <w:tcPr>
            <w:tcW w:type="dxa" w:w="41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3,155人（42社）、うちMSL 1,125人。1社あたり平均77.0人、中央値46.0人</w:t>
            </w:r>
          </w:p>
        </w:tc>
        <w:tc>
          <w:tcPr>
            <w:tcW w:type="dxa" w:w="2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日本製薬医学会 2023年調査</w:t>
            </w:r>
          </w:p>
        </w:tc>
      </w:tr>
      <w:tr>
        <w:trPr>
          <w:cantSplit w:val="false"/>
        </w:trPr>
        <w:tc>
          <w:tcPr>
            <w:tcW w:type="dxa" w:w="28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国内のSaaS市場（SAM）</w:t>
            </w:r>
          </w:p>
        </w:tc>
        <w:tc>
          <w:tcPr>
            <w:tcW w:type="dxa" w:w="41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約12億円／年（MSL以外のMA 約2,030人 × 年60万円）</w:t>
            </w:r>
          </w:p>
        </w:tc>
        <w:tc>
          <w:tcPr>
            <w:tcW w:type="dxa" w:w="28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事業検証レポートでの推計（仮定）</w:t>
            </w:r>
          </w:p>
        </w:tc>
      </w:tr>
    </w:tbl>
    <w:p>
      <w:pPr>
        <w:spacing w:after="60"/>
      </w:pPr>
    </w:p>
    <w:p>
      <w:pPr>
        <w:spacing w:after="120" w:line="300"/>
      </w:pPr>
      <w:r>
        <w:rPr>
          <w:b/>
          <w:bCs/>
        </w:rPr>
        <w:t xml:space="preserve">顧客像（MA部員）</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4"/>
        <w:gridCol w:w="7462"/>
      </w:tblGrid>
      <w:tr>
        <w:trPr>
          <w:tblHeader/>
        </w:trPr>
        <w:tc>
          <w:tcPr>
            <w:tcW w:type="dxa" w:w="2404"/>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項目</w:t>
            </w:r>
          </w:p>
        </w:tc>
        <w:tc>
          <w:tcPr>
            <w:tcW w:type="dxa" w:w="7462"/>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内容</w:t>
            </w:r>
          </w:p>
        </w:tc>
      </w:tr>
      <w:tr>
        <w:trPr>
          <w:cantSplit w:val="false"/>
        </w:trPr>
        <w:tc>
          <w:tcPr>
            <w:tcW w:type="dxa" w:w="24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主な業務</w:t>
            </w:r>
          </w:p>
        </w:tc>
        <w:tc>
          <w:tcPr>
            <w:tcW w:type="dxa" w:w="74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アンメットメディカルニーズの把握、メディカルプランの作成、エビデンス創出。これらはほぼ全てのMAが実施している（日本製薬医学会 2023年）</w:t>
            </w:r>
          </w:p>
        </w:tc>
      </w:tr>
      <w:tr>
        <w:trPr>
          <w:cantSplit w:val="false"/>
        </w:trPr>
        <w:tc>
          <w:tcPr>
            <w:tcW w:type="dxa" w:w="24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置かれた状況</w:t>
            </w:r>
          </w:p>
        </w:tc>
        <w:tc>
          <w:tcPr>
            <w:tcW w:type="dxa" w:w="74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人員は増えない一方で、RWD、PRO、規制の変更など求められる仕事は増えている</w:t>
            </w:r>
          </w:p>
        </w:tc>
      </w:tr>
      <w:tr>
        <w:trPr>
          <w:cantSplit w:val="false"/>
        </w:trPr>
        <w:tc>
          <w:tcPr>
            <w:tcW w:type="dxa" w:w="24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主な悩み</w:t>
            </w:r>
          </w:p>
        </w:tc>
        <w:tc>
          <w:tcPr>
            <w:tcW w:type="dxa" w:w="74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・エビデンスギャップ分析と統合エビデンス計画（IEP）の作成に時間がかかり、承認前に一部が古くなる</w:t>
            </w:r>
          </w:p>
          <w:p>
            <w:pPr>
              <w:spacing w:after="20" w:line="276"/>
            </w:pPr>
            <w:r>
              <w:rPr>
                <w:sz w:val="17"/>
                <w:szCs w:val="17"/>
              </w:rPr>
              <w:t xml:space="preserve">・疫学・統計の専門家が社内に少なく、外部委託はコストと時間がかかる</w:t>
            </w:r>
          </w:p>
          <w:p>
            <w:pPr>
              <w:spacing w:after="20" w:line="276"/>
            </w:pPr>
            <w:r>
              <w:rPr>
                <w:sz w:val="17"/>
                <w:szCs w:val="17"/>
              </w:rPr>
              <w:t xml:space="preserve">・規制改正（臨床研究法、次世代医療基盤法、RWD通知）を追いきれない</w:t>
            </w:r>
          </w:p>
          <w:p>
            <w:pPr>
              <w:spacing w:after="20" w:line="276"/>
            </w:pPr>
            <w:r>
              <w:rPr>
                <w:sz w:val="17"/>
                <w:szCs w:val="17"/>
              </w:rPr>
              <w:t xml:space="preserve">・汎用の生成AIは、出典の不確かさとコンプライアンスの懸念から業務で使いにくい</w:t>
            </w:r>
          </w:p>
        </w:tc>
      </w:tr>
      <w:tr>
        <w:trPr>
          <w:cantSplit w:val="false"/>
        </w:trPr>
        <w:tc>
          <w:tcPr>
            <w:tcW w:type="dxa" w:w="24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購買の決め手（仮説）</w:t>
            </w:r>
          </w:p>
        </w:tc>
        <w:tc>
          <w:tcPr>
            <w:tcW w:type="dxa" w:w="74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①出典が検証できること ②国内の規制・データへの適合 ③社内の審査・情報セキュリティを通過できること ④既存の外部委託より安い／速いこと</w:t>
            </w:r>
          </w:p>
        </w:tc>
      </w:tr>
      <w:tr>
        <w:trPr>
          <w:cantSplit w:val="false"/>
        </w:trPr>
        <w:tc>
          <w:tcPr>
            <w:tcW w:type="dxa" w:w="24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意思決定の関係者</w:t>
            </w:r>
          </w:p>
        </w:tc>
        <w:tc>
          <w:tcPr>
            <w:tcW w:type="dxa" w:w="74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MA部長（予算）、MA部員（利用者）、コンプライアンス・法務、情報システム、購買</w:t>
            </w:r>
          </w:p>
        </w:tc>
      </w:tr>
      <w:tr>
        <w:trPr>
          <w:cantSplit w:val="false"/>
        </w:trPr>
        <w:tc>
          <w:tcPr>
            <w:tcW w:type="dxa" w:w="24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有望な初期顧客</w:t>
            </w:r>
          </w:p>
        </w:tc>
        <w:tc>
          <w:tcPr>
            <w:tcW w:type="dxa" w:w="74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外資系製薬の日本法人（グローバルのIEPを国内に合わせる必要がある）、中堅の国内製薬、バイオベンチャー（MA人員が少ない）</w:t>
            </w:r>
          </w:p>
        </w:tc>
      </w:tr>
    </w:tbl>
    <w:p>
      <w:pPr>
        <w:spacing w:after="60"/>
      </w:pPr>
    </w:p>
    <w:p>
      <w:pPr>
        <w:pStyle w:val="Heading2"/>
      </w:pPr>
      <w:r>
        <w:t xml:space="preserve">Competitor（競合）</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8"/>
        <w:gridCol w:w="1417"/>
        <w:gridCol w:w="3256"/>
        <w:gridCol w:w="1323"/>
        <w:gridCol w:w="2102"/>
      </w:tblGrid>
      <w:tr>
        <w:trPr>
          <w:tblHeader/>
        </w:trPr>
        <w:tc>
          <w:tcPr>
            <w:tcW w:type="dxa" w:w="176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競合</w:t>
            </w:r>
          </w:p>
        </w:tc>
        <w:tc>
          <w:tcPr>
            <w:tcW w:type="dxa" w:w="1417"/>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種類</w:t>
            </w:r>
          </w:p>
        </w:tc>
        <w:tc>
          <w:tcPr>
            <w:tcW w:type="dxa" w:w="325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主な提供価値</w:t>
            </w:r>
          </w:p>
        </w:tc>
        <w:tc>
          <w:tcPr>
            <w:tcW w:type="dxa" w:w="132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料金</w:t>
            </w:r>
          </w:p>
        </w:tc>
        <w:tc>
          <w:tcPr>
            <w:tcW w:type="dxa" w:w="2102"/>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自社から見た位置づけ</w:t>
            </w:r>
          </w:p>
        </w:tc>
      </w:tr>
      <w:tr>
        <w:trPr>
          <w:cantSplit w:val="false"/>
        </w:trPr>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Sorcero</w:t>
            </w:r>
            <w:r>
              <w:rPr>
                <w:sz w:val="17"/>
                <w:szCs w:val="17"/>
              </w:rPr>
              <w:t xml:space="preserve">（米国）</w:t>
            </w:r>
          </w:p>
        </w:tc>
        <w:tc>
          <w:tcPr>
            <w:tcW w:type="dxa" w:w="14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MA特化のAIプラットフォーム</w:t>
            </w:r>
          </w:p>
        </w:tc>
        <w:tc>
          <w:tcPr>
            <w:tcW w:type="dxa" w:w="32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医療インサイト管理、自然言語での問い合わせ、パブリケーション分析。2026年秋にデータ・BI・AIの統合基盤となり、対話型アシスタント「Sorcero Wizard」のベータ版を開始。シリーズBで4,250万ドルを調達</w:t>
            </w:r>
          </w:p>
        </w:tc>
        <w:tc>
          <w:tcPr>
            <w:tcW w:type="dxa" w:w="13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非公開</w:t>
            </w:r>
          </w:p>
        </w:tc>
        <w:tc>
          <w:tcPr>
            <w:tcW w:type="dxa" w:w="21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インサイト分析が中心で、研究デザインの上流工程は手薄。日本語対応は未確認</w:t>
            </w:r>
          </w:p>
        </w:tc>
      </w:tr>
      <w:tr>
        <w:trPr>
          <w:cantSplit w:val="false"/>
        </w:trPr>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Within3</w:t>
            </w:r>
            <w:r>
              <w:rPr>
                <w:sz w:val="17"/>
                <w:szCs w:val="17"/>
              </w:rPr>
              <w:t xml:space="preserve">（米国）</w:t>
            </w:r>
          </w:p>
        </w:tc>
        <w:tc>
          <w:tcPr>
            <w:tcW w:type="dxa" w:w="14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MAのインサイト・エンゲージメント基盤</w:t>
            </w:r>
          </w:p>
        </w:tc>
        <w:tc>
          <w:tcPr>
            <w:tcW w:type="dxa" w:w="32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アドバイザリーボード、KOLマッピング、ソーシャルリスニング。分析作業を最大90%削減（自社発表）。上位20製薬すべてが利用（自社発表）</w:t>
            </w:r>
          </w:p>
        </w:tc>
        <w:tc>
          <w:tcPr>
            <w:tcW w:type="dxa" w:w="13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非公開</w:t>
            </w:r>
          </w:p>
        </w:tc>
        <w:tc>
          <w:tcPr>
            <w:tcW w:type="dxa" w:w="21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エンゲージメントが中心で、エビデンス創出の計画は守備範囲外</w:t>
            </w:r>
          </w:p>
        </w:tc>
      </w:tr>
      <w:tr>
        <w:trPr>
          <w:cantSplit w:val="false"/>
        </w:trPr>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Genesis Research Group「EVID AI」</w:t>
            </w:r>
            <w:r>
              <w:rPr>
                <w:sz w:val="17"/>
                <w:szCs w:val="17"/>
              </w:rPr>
              <w:t xml:space="preserve">（米国）</w:t>
            </w:r>
          </w:p>
        </w:tc>
        <w:tc>
          <w:tcPr>
            <w:tcW w:type="dxa" w:w="14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エビデンス統合のプラットフォーム</w:t>
            </w:r>
          </w:p>
        </w:tc>
        <w:tc>
          <w:tcPr>
            <w:tcW w:type="dxa" w:w="32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文献レビュー、システマティックレビュー、文献モニタリング。専門家との協働や全面委託も選べる</w:t>
            </w:r>
          </w:p>
        </w:tc>
        <w:tc>
          <w:tcPr>
            <w:tcW w:type="dxa" w:w="13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2026年末まで無償</w:t>
            </w:r>
          </w:p>
        </w:tc>
        <w:tc>
          <w:tcPr>
            <w:tcW w:type="dxa" w:w="21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文献統合が中心で、国内RWDや国内規制には対応していない。無償期間中は価格面で強い</w:t>
            </w:r>
          </w:p>
        </w:tc>
      </w:tr>
      <w:tr>
        <w:trPr>
          <w:cantSplit w:val="false"/>
        </w:trPr>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社内の汎用生成AI</w:t>
            </w:r>
            <w:r>
              <w:rPr>
                <w:sz w:val="17"/>
                <w:szCs w:val="17"/>
              </w:rPr>
              <w:t xml:space="preserve">（例：Chugai AI Assistant、ChatGPTなど）</w:t>
            </w:r>
          </w:p>
        </w:tc>
        <w:tc>
          <w:tcPr>
            <w:tcW w:type="dxa" w:w="14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代替手段</w:t>
            </w:r>
          </w:p>
        </w:tc>
        <w:tc>
          <w:tcPr>
            <w:tcW w:type="dxa" w:w="32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論文の要約、文書の下書き、社内文書の検索</w:t>
            </w:r>
          </w:p>
        </w:tc>
        <w:tc>
          <w:tcPr>
            <w:tcW w:type="dxa" w:w="13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社内コスト</w:t>
            </w:r>
          </w:p>
        </w:tc>
        <w:tc>
          <w:tcPr>
            <w:tcW w:type="dxa" w:w="21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最も身近な競合</w:t>
            </w:r>
            <w:r>
              <w:rPr>
                <w:sz w:val="17"/>
                <w:szCs w:val="17"/>
              </w:rPr>
              <w:t xml:space="preserve">。専門性・ガバナンス・出典の検証可能性で差をつける必要がある</w:t>
            </w:r>
          </w:p>
        </w:tc>
      </w:tr>
      <w:tr>
        <w:trPr>
          <w:cantSplit w:val="false"/>
        </w:trPr>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CRO・コンサル</w:t>
            </w:r>
            <w:r>
              <w:rPr>
                <w:sz w:val="17"/>
                <w:szCs w:val="17"/>
              </w:rPr>
              <w:t xml:space="preserve">（IQVIA、Blue Matter、PwCなど）</w:t>
            </w:r>
          </w:p>
        </w:tc>
        <w:tc>
          <w:tcPr>
            <w:tcW w:type="dxa" w:w="14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代替手段（人による外部委託）</w:t>
            </w:r>
          </w:p>
        </w:tc>
        <w:tc>
          <w:tcPr>
            <w:tcW w:type="dxa" w:w="32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IEPの作成、ギャップ分析ワークショップ、生成AIの導入支援</w:t>
            </w:r>
          </w:p>
        </w:tc>
        <w:tc>
          <w:tcPr>
            <w:tcW w:type="dxa" w:w="13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案件ごと（高額）</w:t>
            </w:r>
          </w:p>
        </w:tc>
        <w:tc>
          <w:tcPr>
            <w:tcW w:type="dxa" w:w="21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品質と信頼性は高いが、コストとリードタイムが大きい。提携相手にもなり得る</w:t>
            </w:r>
          </w:p>
        </w:tc>
      </w:tr>
      <w:tr>
        <w:trPr>
          <w:cantSplit w:val="false"/>
        </w:trPr>
        <w:tc>
          <w:tcPr>
            <w:tcW w:type="dxa" w:w="17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b/>
                <w:bCs/>
                <w:sz w:val="17"/>
                <w:szCs w:val="17"/>
              </w:rPr>
              <w:t xml:space="preserve">規制文書AI</w:t>
            </w:r>
            <w:r>
              <w:rPr>
                <w:sz w:val="17"/>
                <w:szCs w:val="17"/>
              </w:rPr>
              <w:t xml:space="preserve">（塩野義×日立）</w:t>
            </w:r>
          </w:p>
        </w:tc>
        <w:tc>
          <w:tcPr>
            <w:tcW w:type="dxa" w:w="141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隣接領域</w:t>
            </w:r>
          </w:p>
        </w:tc>
        <w:tc>
          <w:tcPr>
            <w:tcW w:type="dxa" w:w="32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規制関連文書の作成支援</w:t>
            </w:r>
          </w:p>
        </w:tc>
        <w:tc>
          <w:tcPr>
            <w:tcW w:type="dxa" w:w="13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非公開</w:t>
            </w:r>
          </w:p>
        </w:tc>
        <w:tc>
          <w:tcPr>
            <w:tcW w:type="dxa" w:w="210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領域は異なるが、国内勢が製薬向けAIに参入しつつあることを示す</w:t>
            </w:r>
          </w:p>
        </w:tc>
      </w:tr>
    </w:tbl>
    <w:p>
      <w:pPr>
        <w:spacing w:after="60"/>
      </w:pPr>
    </w:p>
    <w:p>
      <w:pPr>
        <w:spacing w:after="120" w:line="300"/>
      </w:pPr>
      <w:r>
        <w:rPr>
          <w:b/>
          <w:bCs/>
        </w:rPr>
        <w:t xml:space="preserve">競合環境のまとめ</w:t>
      </w:r>
    </w:p>
    <w:p>
      <w:pPr>
        <w:pStyle w:val="ListParagraph"/>
        <w:numPr>
          <w:ilvl w:val="0"/>
          <w:numId w:val="2"/>
        </w:numPr>
        <w:spacing w:after="60" w:line="300"/>
      </w:pPr>
      <w:r>
        <w:t xml:space="preserve">海外勢は「インサイト管理」と「文献統合」で先行していますが、</w:t>
      </w:r>
      <w:r>
        <w:rPr>
          <w:b/>
          <w:bCs/>
        </w:rPr>
        <w:t xml:space="preserve">日本語・国内規制・国内RWDに対応した、エビデンス創出上流のAI</w:t>
      </w:r>
      <w:r>
        <w:t xml:space="preserve">は確認できませんでした。</w:t>
      </w:r>
    </w:p>
    <w:p>
      <w:pPr>
        <w:pStyle w:val="ListParagraph"/>
        <w:numPr>
          <w:ilvl w:val="0"/>
          <w:numId w:val="2"/>
        </w:numPr>
        <w:spacing w:after="60" w:line="300"/>
      </w:pPr>
      <w:r>
        <w:t xml:space="preserve">実際に最も強く比べられるのは</w:t>
      </w:r>
      <w:r>
        <w:rPr>
          <w:b/>
          <w:bCs/>
        </w:rPr>
        <w:t xml:space="preserve">社内の汎用生成AI</w:t>
      </w:r>
      <w:r>
        <w:t xml:space="preserve">と</w:t>
      </w:r>
      <w:r>
        <w:rPr>
          <w:b/>
          <w:bCs/>
        </w:rPr>
        <w:t xml:space="preserve">CRO・コンサルへの外部委託</w:t>
      </w:r>
      <w:r>
        <w:t xml:space="preserve">です。「汎用AIより正確で安全、外部委託より速くて安い」という位置どりが必要です。</w:t>
      </w:r>
    </w:p>
    <w:p>
      <w:pPr>
        <w:pStyle w:val="Heading2"/>
      </w:pPr>
      <w:r>
        <w:t xml:space="preserve">Company（自社）</w:t>
      </w:r>
    </w:p>
    <w:p>
      <w:pPr>
        <w:pBdr>
          <w:left w:val="single" w:color="1F4E79" w:sz="18" w:space="8"/>
        </w:pBdr>
        <w:shd w:fill="EEF3F8" w:color="auto" w:val="clear"/>
        <w:spacing w:before="60" w:after="120" w:line="300"/>
        <w:ind w:left="200"/>
      </w:pPr>
      <w:r>
        <w:rPr>
          <w:sz w:val="19"/>
          <w:szCs w:val="19"/>
        </w:rPr>
        <w:t xml:space="preserve">事業構想から想定した内容です。実際のチーム構成、資金、提携先に合わせて修正してください。</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35"/>
        <w:gridCol w:w="7731"/>
      </w:tblGrid>
      <w:tr>
        <w:trPr>
          <w:tblHeader/>
        </w:trPr>
        <w:tc>
          <w:tcPr>
            <w:tcW w:type="dxa" w:w="213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項目</w:t>
            </w:r>
          </w:p>
        </w:tc>
        <w:tc>
          <w:tcPr>
            <w:tcW w:type="dxa" w:w="7731"/>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20" w:line="276"/>
            </w:pPr>
            <w:r>
              <w:rPr>
                <w:b/>
                <w:bCs/>
                <w:color w:val="FFFFFF"/>
                <w:sz w:val="17"/>
                <w:szCs w:val="17"/>
              </w:rPr>
              <w:t xml:space="preserve">内容</w:t>
            </w:r>
          </w:p>
        </w:tc>
      </w:tr>
      <w:tr>
        <w:trPr>
          <w:cantSplit w:val="false"/>
        </w:trPr>
        <w:tc>
          <w:tcPr>
            <w:tcW w:type="dxa" w:w="21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提供価値</w:t>
            </w:r>
          </w:p>
        </w:tc>
        <w:tc>
          <w:tcPr>
            <w:tcW w:type="dxa" w:w="77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MA部員がエビデンス創出の相談（ギャップ分析、研究デザイン、データソース選定、規制の適用判断）を、日本語で、出典付きで、すぐに得られる</w:t>
            </w:r>
          </w:p>
        </w:tc>
      </w:tr>
      <w:tr>
        <w:trPr>
          <w:cantSplit w:val="false"/>
        </w:trPr>
        <w:tc>
          <w:tcPr>
            <w:tcW w:type="dxa" w:w="21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強み（想定）</w:t>
            </w:r>
          </w:p>
        </w:tc>
        <w:tc>
          <w:tcPr>
            <w:tcW w:type="dxa" w:w="77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日本の規制・RWDに特化した知識の設計、上流工程に特化した業務フロー、出典の明示・監査ログ・プロモーション分離によるガバナンス、手頃な席単位の料金</w:t>
            </w:r>
          </w:p>
        </w:tc>
      </w:tr>
      <w:tr>
        <w:trPr>
          <w:cantSplit w:val="false"/>
        </w:trPr>
        <w:tc>
          <w:tcPr>
            <w:tcW w:type="dxa" w:w="21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弱み（想定）</w:t>
            </w:r>
          </w:p>
        </w:tc>
        <w:tc>
          <w:tcPr>
            <w:tcW w:type="dxa" w:w="77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導入実績がない、大手の購買審査の経験がない、専門家の体制が不透明、データ実行基盤を持たない、国内市場が小さい</w:t>
            </w:r>
          </w:p>
        </w:tc>
      </w:tr>
      <w:tr>
        <w:trPr>
          <w:cantSplit w:val="false"/>
        </w:trPr>
        <w:tc>
          <w:tcPr>
            <w:tcW w:type="dxa" w:w="21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活かせる外部環境</w:t>
            </w:r>
          </w:p>
        </w:tc>
        <w:tc>
          <w:tcPr>
            <w:tcW w:type="dxa" w:w="77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RWD関連の規制緩和（2026年の通知）、仮名加工医療情報、臨床研究法の改正、AI推進法、MA人員の横ばい</w:t>
            </w:r>
          </w:p>
        </w:tc>
      </w:tr>
      <w:tr>
        <w:trPr>
          <w:cantSplit w:val="false"/>
        </w:trPr>
        <w:tc>
          <w:tcPr>
            <w:tcW w:type="dxa" w:w="21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戦略の方向性</w:t>
            </w:r>
          </w:p>
        </w:tc>
        <w:tc>
          <w:tcPr>
            <w:tcW w:type="dxa" w:w="77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1. </w:t>
            </w:r>
            <w:r>
              <w:rPr>
                <w:b/>
                <w:bCs/>
                <w:sz w:val="17"/>
                <w:szCs w:val="17"/>
              </w:rPr>
              <w:t xml:space="preserve">ポジション</w:t>
            </w:r>
            <w:r>
              <w:rPr>
                <w:sz w:val="17"/>
                <w:szCs w:val="17"/>
              </w:rPr>
              <w:t xml:space="preserve">：「汎用AIより正確・安全、外部委託より速い・安い」国内MA専用のエビデンス創出AI</w:t>
            </w:r>
          </w:p>
          <w:p>
            <w:pPr>
              <w:spacing w:after="20" w:line="276"/>
            </w:pPr>
            <w:r>
              <w:rPr>
                <w:sz w:val="17"/>
                <w:szCs w:val="17"/>
              </w:rPr>
              <w:t xml:space="preserve">2. </w:t>
            </w:r>
            <w:r>
              <w:rPr>
                <w:b/>
                <w:bCs/>
                <w:sz w:val="17"/>
                <w:szCs w:val="17"/>
              </w:rPr>
              <w:t xml:space="preserve">主力ユースケース</w:t>
            </w:r>
            <w:r>
              <w:rPr>
                <w:sz w:val="17"/>
                <w:szCs w:val="17"/>
              </w:rPr>
              <w:t xml:space="preserve">：国内RWDを使った研究デザインの相談（2026年の通知と仮名加工医療情報を起点にする）</w:t>
            </w:r>
          </w:p>
          <w:p>
            <w:pPr>
              <w:spacing w:after="20" w:line="276"/>
            </w:pPr>
            <w:r>
              <w:rPr>
                <w:sz w:val="17"/>
                <w:szCs w:val="17"/>
              </w:rPr>
              <w:t xml:space="preserve">3. </w:t>
            </w:r>
            <w:r>
              <w:rPr>
                <w:b/>
                <w:bCs/>
                <w:sz w:val="17"/>
                <w:szCs w:val="17"/>
              </w:rPr>
              <w:t xml:space="preserve">初期ターゲット</w:t>
            </w:r>
            <w:r>
              <w:rPr>
                <w:sz w:val="17"/>
                <w:szCs w:val="17"/>
              </w:rPr>
              <w:t xml:space="preserve">：外資系の日本法人、中堅の国内製薬、バイオベンチャー</w:t>
            </w:r>
          </w:p>
          <w:p>
            <w:pPr>
              <w:spacing w:after="20" w:line="276"/>
            </w:pPr>
            <w:r>
              <w:rPr>
                <w:sz w:val="17"/>
                <w:szCs w:val="17"/>
              </w:rPr>
              <w:t xml:space="preserve">4. </w:t>
            </w:r>
            <w:r>
              <w:rPr>
                <w:b/>
                <w:bCs/>
                <w:sz w:val="17"/>
                <w:szCs w:val="17"/>
              </w:rPr>
              <w:t xml:space="preserve">提供形態</w:t>
            </w:r>
            <w:r>
              <w:rPr>
                <w:sz w:val="17"/>
                <w:szCs w:val="17"/>
              </w:rPr>
              <w:t xml:space="preserve">：SaaS（席単位）＋疫学・統計の専門家によるレビューオプション</w:t>
            </w:r>
          </w:p>
          <w:p>
            <w:pPr>
              <w:spacing w:after="20" w:line="276"/>
            </w:pPr>
            <w:r>
              <w:rPr>
                <w:sz w:val="17"/>
                <w:szCs w:val="17"/>
              </w:rPr>
              <w:t xml:space="preserve">5. </w:t>
            </w:r>
            <w:r>
              <w:rPr>
                <w:b/>
                <w:bCs/>
                <w:sz w:val="17"/>
                <w:szCs w:val="17"/>
              </w:rPr>
              <w:t xml:space="preserve">提携</w:t>
            </w:r>
            <w:r>
              <w:rPr>
                <w:sz w:val="17"/>
                <w:szCs w:val="17"/>
              </w:rPr>
              <w:t xml:space="preserve">：RWDベンダー（JMDC、MDV、4DINなど）やCROとの連携でデータと分析実行を補う</w:t>
            </w:r>
          </w:p>
        </w:tc>
      </w:tr>
      <w:tr>
        <w:trPr>
          <w:cantSplit w:val="false"/>
        </w:trPr>
        <w:tc>
          <w:tcPr>
            <w:tcW w:type="dxa" w:w="213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成功の鍵（KSF）</w:t>
            </w:r>
          </w:p>
        </w:tc>
        <w:tc>
          <w:tcPr>
            <w:tcW w:type="dxa" w:w="77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76"/>
            </w:pPr>
            <w:r>
              <w:rPr>
                <w:sz w:val="17"/>
                <w:szCs w:val="17"/>
              </w:rPr>
              <w:t xml:space="preserve">①回答の正確性と出典の検証可能性 ②コンプライアンス部門の承認を得られる設計 ③初期のPoCで導入実績を作ること ④規制改正に素早く対応し続けること</w:t>
            </w:r>
          </w:p>
        </w:tc>
      </w:tr>
    </w:tbl>
    <w:p>
      <w:pPr>
        <w:spacing w:after="60"/>
      </w:pPr>
    </w:p>
    <w:p>
      <w:pPr>
        <w:pBdr>
          <w:bottom w:val="single" w:color="BFBFBF" w:sz="6" w:space="1"/>
        </w:pBdr>
        <w:spacing w:before="120" w:after="120"/>
      </w:pPr>
    </w:p>
    <w:p>
      <w:pPr>
        <w:pStyle w:val="Heading1"/>
      </w:pPr>
      <w:r>
        <w:t xml:space="preserve">出典</w:t>
      </w:r>
    </w:p>
    <w:p>
      <w:pPr>
        <w:pStyle w:val="Heading2"/>
      </w:pPr>
      <w:r>
        <w:t xml:space="preserve">政治・規制</w:t>
      </w:r>
    </w:p>
    <w:p>
      <w:pPr>
        <w:pStyle w:val="ListParagraph"/>
        <w:numPr>
          <w:ilvl w:val="0"/>
          <w:numId w:val="2"/>
        </w:numPr>
        <w:spacing w:after="60" w:line="300"/>
      </w:pPr>
      <w:hyperlink w:history="1" r:id="rId22kjheq5szjhj_lqkmtwl">
        <w:r>
          <w:rPr>
            <w:rStyle w:val="Hyperlink"/>
          </w:rPr>
          <w:t xml:space="preserve">内閣府：次世代医療基盤法 改正の概要（仮名加工医療情報）</w:t>
        </w:r>
      </w:hyperlink>
    </w:p>
    <w:p>
      <w:pPr>
        <w:pStyle w:val="ListParagraph"/>
        <w:numPr>
          <w:ilvl w:val="0"/>
          <w:numId w:val="2"/>
        </w:numPr>
        <w:spacing w:after="60" w:line="300"/>
      </w:pPr>
      <w:hyperlink w:history="1" r:id="rIdfyxqj9xvjgilfk0k_yeje">
        <w:r>
          <w:rPr>
            <w:rStyle w:val="Hyperlink"/>
          </w:rPr>
          <w:t xml:space="preserve">内閣府：次世代医療基盤法 研究会資料（2025年9月）</w:t>
        </w:r>
      </w:hyperlink>
    </w:p>
    <w:p>
      <w:pPr>
        <w:pStyle w:val="ListParagraph"/>
        <w:numPr>
          <w:ilvl w:val="0"/>
          <w:numId w:val="2"/>
        </w:numPr>
        <w:spacing w:after="60" w:line="300"/>
      </w:pPr>
      <w:hyperlink w:history="1" r:id="rIdddg0muzjc472t6o3j6ok3">
        <w:r>
          <w:rPr>
            <w:rStyle w:val="Hyperlink"/>
          </w:rPr>
          <w:t xml:space="preserve">薬事日報：次世代医療基盤法 関連記事</w:t>
        </w:r>
      </w:hyperlink>
    </w:p>
    <w:p>
      <w:pPr>
        <w:pStyle w:val="ListParagraph"/>
        <w:numPr>
          <w:ilvl w:val="0"/>
          <w:numId w:val="2"/>
        </w:numPr>
        <w:spacing w:after="60" w:line="300"/>
      </w:pPr>
      <w:hyperlink w:history="1" r:id="rIde7qcywqezt6nglz7xc3su">
        <w:r>
          <w:rPr>
            <w:rStyle w:val="Hyperlink"/>
          </w:rPr>
          <w:t xml:space="preserve">日刊薬業：RWDの承認申請活用 局長通知（2026年2月）</w:t>
        </w:r>
      </w:hyperlink>
    </w:p>
    <w:p>
      <w:pPr>
        <w:pStyle w:val="ListParagraph"/>
        <w:numPr>
          <w:ilvl w:val="0"/>
          <w:numId w:val="2"/>
        </w:numPr>
        <w:spacing w:after="60" w:line="300"/>
      </w:pPr>
      <w:hyperlink w:history="1" r:id="rIdd0mb8jnpfmqwa831apt3l">
        <w:r>
          <w:rPr>
            <w:rStyle w:val="Hyperlink"/>
          </w:rPr>
          <w:t xml:space="preserve">AMED：RWD活用に関する資料</w:t>
        </w:r>
      </w:hyperlink>
    </w:p>
    <w:p>
      <w:pPr>
        <w:pStyle w:val="ListParagraph"/>
        <w:numPr>
          <w:ilvl w:val="0"/>
          <w:numId w:val="2"/>
        </w:numPr>
        <w:spacing w:after="60" w:line="300"/>
      </w:pPr>
      <w:hyperlink w:history="1" r:id="rId-eweicy_7xnh7qa3-1ip8">
        <w:r>
          <w:rPr>
            <w:rStyle w:val="Hyperlink"/>
          </w:rPr>
          <w:t xml:space="preserve">厚労科研：RWD関連研究報告</w:t>
        </w:r>
      </w:hyperlink>
    </w:p>
    <w:p>
      <w:pPr>
        <w:pStyle w:val="ListParagraph"/>
        <w:numPr>
          <w:ilvl w:val="0"/>
          <w:numId w:val="2"/>
        </w:numPr>
        <w:spacing w:after="60" w:line="300"/>
      </w:pPr>
      <w:hyperlink w:history="1" r:id="rIdyc_hlem2xalldptns7mqa">
        <w:r>
          <w:rPr>
            <w:rStyle w:val="Hyperlink"/>
          </w:rPr>
          <w:t xml:space="preserve">日本製薬医学会：臨床研究法改正関連資料（2025年5月）</w:t>
        </w:r>
      </w:hyperlink>
    </w:p>
    <w:p>
      <w:pPr>
        <w:pStyle w:val="ListParagraph"/>
        <w:numPr>
          <w:ilvl w:val="0"/>
          <w:numId w:val="2"/>
        </w:numPr>
        <w:spacing w:after="60" w:line="300"/>
      </w:pPr>
      <w:hyperlink w:history="1" r:id="rIdf9mppwohjud4jng7_vij4">
        <w:r>
          <w:rPr>
            <w:rStyle w:val="Hyperlink"/>
          </w:rPr>
          <w:t xml:space="preserve">アンダーソン・毛利・友常法律事務所：臨床研究法改正ニュースレター</w:t>
        </w:r>
      </w:hyperlink>
    </w:p>
    <w:p>
      <w:pPr>
        <w:pStyle w:val="ListParagraph"/>
        <w:numPr>
          <w:ilvl w:val="0"/>
          <w:numId w:val="2"/>
        </w:numPr>
        <w:spacing w:after="60" w:line="300"/>
      </w:pPr>
      <w:hyperlink w:history="1" r:id="rIdoqd59qbmvuiskcw5ah429">
        <w:r>
          <w:rPr>
            <w:rStyle w:val="Hyperlink"/>
          </w:rPr>
          <w:t xml:space="preserve">西村あさひ法律事務所：ライフサイエンス・ヘルスケアニュースレター（2024年4月）</w:t>
        </w:r>
      </w:hyperlink>
    </w:p>
    <w:p>
      <w:pPr>
        <w:pStyle w:val="ListParagraph"/>
        <w:numPr>
          <w:ilvl w:val="0"/>
          <w:numId w:val="2"/>
        </w:numPr>
        <w:spacing w:after="60" w:line="300"/>
      </w:pPr>
      <w:hyperlink w:history="1" r:id="rIdn7ceun8tua5hgwkioqc67">
        <w:r>
          <w:rPr>
            <w:rStyle w:val="Hyperlink"/>
          </w:rPr>
          <w:t xml:space="preserve">厚生労働省：医療用医薬品の販売情報提供活動に関するガイドライン</w:t>
        </w:r>
      </w:hyperlink>
    </w:p>
    <w:p>
      <w:pPr>
        <w:pStyle w:val="ListParagraph"/>
        <w:numPr>
          <w:ilvl w:val="0"/>
          <w:numId w:val="2"/>
        </w:numPr>
        <w:spacing w:after="60" w:line="300"/>
      </w:pPr>
      <w:hyperlink w:history="1" r:id="rIdokh8mkzun4gmd1gbgijbt">
        <w:r>
          <w:rPr>
            <w:rStyle w:val="Hyperlink"/>
          </w:rPr>
          <w:t xml:space="preserve">厚労科研：販売情報提供活動ガイドラインに関する研究報告（2024年度）</w:t>
        </w:r>
      </w:hyperlink>
    </w:p>
    <w:p>
      <w:pPr>
        <w:pStyle w:val="ListParagraph"/>
        <w:numPr>
          <w:ilvl w:val="0"/>
          <w:numId w:val="2"/>
        </w:numPr>
        <w:spacing w:after="60" w:line="300"/>
      </w:pPr>
      <w:hyperlink w:history="1" r:id="rIdxhjfq1wmj_enxrey9evl3">
        <w:r>
          <w:rPr>
            <w:rStyle w:val="Hyperlink"/>
          </w:rPr>
          <w:t xml:space="preserve">PhRMA：販売情報提供活動ガイドライン案への意見（2018年）</w:t>
        </w:r>
      </w:hyperlink>
    </w:p>
    <w:p>
      <w:pPr>
        <w:pStyle w:val="ListParagraph"/>
        <w:numPr>
          <w:ilvl w:val="0"/>
          <w:numId w:val="2"/>
        </w:numPr>
        <w:spacing w:after="60" w:line="300"/>
      </w:pPr>
      <w:hyperlink w:history="1" r:id="rIdkgggfsauhchpahly1aa4q">
        <w:r>
          <w:rPr>
            <w:rStyle w:val="Hyperlink"/>
          </w:rPr>
          <w:t xml:space="preserve">内閣府：AI法 全面施行</w:t>
        </w:r>
      </w:hyperlink>
    </w:p>
    <w:p>
      <w:pPr>
        <w:pStyle w:val="ListParagraph"/>
        <w:numPr>
          <w:ilvl w:val="0"/>
          <w:numId w:val="2"/>
        </w:numPr>
        <w:spacing w:after="60" w:line="300"/>
      </w:pPr>
      <w:hyperlink w:history="1" r:id="rIdzwok4lnr_6c_z5ulyidpb">
        <w:r>
          <w:rPr>
            <w:rStyle w:val="Hyperlink"/>
          </w:rPr>
          <w:t xml:space="preserve">内閣府：AI基本計画 関連資料</w:t>
        </w:r>
      </w:hyperlink>
    </w:p>
    <w:p>
      <w:pPr>
        <w:pStyle w:val="ListParagraph"/>
        <w:numPr>
          <w:ilvl w:val="0"/>
          <w:numId w:val="2"/>
        </w:numPr>
        <w:spacing w:after="60" w:line="300"/>
      </w:pPr>
      <w:hyperlink w:history="1" r:id="rIdv44escoefuex2watgbnyu">
        <w:r>
          <w:rPr>
            <w:rStyle w:val="Hyperlink"/>
          </w:rPr>
          <w:t xml:space="preserve">BUSINESS LAWYERS：AI推進法の解説</w:t>
        </w:r>
      </w:hyperlink>
    </w:p>
    <w:p>
      <w:pPr>
        <w:pStyle w:val="ListParagraph"/>
        <w:numPr>
          <w:ilvl w:val="0"/>
          <w:numId w:val="2"/>
        </w:numPr>
        <w:spacing w:after="60" w:line="300"/>
      </w:pPr>
      <w:hyperlink w:history="1" r:id="rIdsdtsp09f9fqajdzm59trv">
        <w:r>
          <w:rPr>
            <w:rStyle w:val="Hyperlink"/>
          </w:rPr>
          <w:t xml:space="preserve">PhRMA：薬価関連プレスリリース</w:t>
        </w:r>
      </w:hyperlink>
    </w:p>
    <w:p>
      <w:pPr>
        <w:pStyle w:val="ListParagraph"/>
        <w:numPr>
          <w:ilvl w:val="0"/>
          <w:numId w:val="2"/>
        </w:numPr>
        <w:spacing w:after="60" w:line="300"/>
      </w:pPr>
      <w:hyperlink w:history="1" r:id="rIdswsejqiuhleydnvtxlvwn">
        <w:r>
          <w:rPr>
            <w:rStyle w:val="Hyperlink"/>
          </w:rPr>
          <w:t xml:space="preserve">日刊薬業：2027年度中間年改定</w:t>
        </w:r>
      </w:hyperlink>
    </w:p>
    <w:p>
      <w:pPr>
        <w:pStyle w:val="ListParagraph"/>
        <w:numPr>
          <w:ilvl w:val="0"/>
          <w:numId w:val="2"/>
        </w:numPr>
        <w:spacing w:after="60" w:line="300"/>
      </w:pPr>
      <w:hyperlink w:history="1" r:id="rIdst2qf4yvd9djtavo-zxoh">
        <w:r>
          <w:rPr>
            <w:rStyle w:val="Hyperlink"/>
          </w:rPr>
          <w:t xml:space="preserve">厚生労働省：薬価制度関連資料</w:t>
        </w:r>
      </w:hyperlink>
    </w:p>
    <w:p>
      <w:pPr>
        <w:pStyle w:val="Heading2"/>
      </w:pPr>
      <w:r>
        <w:t xml:space="preserve">経済</w:t>
      </w:r>
    </w:p>
    <w:p>
      <w:pPr>
        <w:pStyle w:val="ListParagraph"/>
        <w:numPr>
          <w:ilvl w:val="0"/>
          <w:numId w:val="2"/>
        </w:numPr>
        <w:spacing w:after="60" w:line="300"/>
      </w:pPr>
      <w:hyperlink w:history="1" r:id="rIdibah3wb7q58tlkslpevds">
        <w:r>
          <w:rPr>
            <w:rStyle w:val="Hyperlink"/>
          </w:rPr>
          <w:t xml:space="preserve">AnswersNews：MR白書2025</w:t>
        </w:r>
      </w:hyperlink>
    </w:p>
    <w:p>
      <w:pPr>
        <w:pStyle w:val="ListParagraph"/>
        <w:numPr>
          <w:ilvl w:val="0"/>
          <w:numId w:val="2"/>
        </w:numPr>
        <w:spacing w:after="60" w:line="300"/>
      </w:pPr>
      <w:hyperlink w:history="1" r:id="rIdqi95lvjgc_mcyk3rvr6yl">
        <w:r>
          <w:rPr>
            <w:rStyle w:val="Hyperlink"/>
          </w:rPr>
          <w:t xml:space="preserve">薬事日報：MR数の推移</w:t>
        </w:r>
      </w:hyperlink>
    </w:p>
    <w:p>
      <w:pPr>
        <w:pStyle w:val="ListParagraph"/>
        <w:numPr>
          <w:ilvl w:val="0"/>
          <w:numId w:val="2"/>
        </w:numPr>
        <w:spacing w:after="60" w:line="300"/>
      </w:pPr>
      <w:hyperlink w:history="1" r:id="rIdodmlwqfg9dwcwmpjrwwcy">
        <w:r>
          <w:rPr>
            <w:rStyle w:val="Hyperlink"/>
          </w:rPr>
          <w:t xml:space="preserve">日刊薬業：早期退職関連記事</w:t>
        </w:r>
      </w:hyperlink>
    </w:p>
    <w:p>
      <w:pPr>
        <w:pStyle w:val="ListParagraph"/>
        <w:numPr>
          <w:ilvl w:val="0"/>
          <w:numId w:val="2"/>
        </w:numPr>
        <w:spacing w:after="60" w:line="300"/>
      </w:pPr>
      <w:hyperlink w:history="1" r:id="rIdj6dnuhxrvbhvnieesbenf">
        <w:r>
          <w:rPr>
            <w:rStyle w:val="Hyperlink"/>
          </w:rPr>
          <w:t xml:space="preserve">AnswersNews：製薬企業の研究開発費ランキング</w:t>
        </w:r>
      </w:hyperlink>
    </w:p>
    <w:p>
      <w:pPr>
        <w:pStyle w:val="ListParagraph"/>
        <w:numPr>
          <w:ilvl w:val="0"/>
          <w:numId w:val="2"/>
        </w:numPr>
        <w:spacing w:after="60" w:line="300"/>
      </w:pPr>
      <w:hyperlink w:history="1" r:id="rId5swv99iy_qlarhv0r5s3s">
        <w:r>
          <w:rPr>
            <w:rStyle w:val="Hyperlink"/>
          </w:rPr>
          <w:t xml:space="preserve">Towards Healthcare：Medical Affairs Outsourcing Market</w:t>
        </w:r>
      </w:hyperlink>
    </w:p>
    <w:p>
      <w:pPr>
        <w:pStyle w:val="ListParagraph"/>
        <w:numPr>
          <w:ilvl w:val="0"/>
          <w:numId w:val="2"/>
        </w:numPr>
        <w:spacing w:after="60" w:line="300"/>
      </w:pPr>
      <w:hyperlink w:history="1" r:id="rIddystnrf8ta6cgtxlibnla">
        <w:r>
          <w:rPr>
            <w:rStyle w:val="Hyperlink"/>
          </w:rPr>
          <w:t xml:space="preserve">薬事日報：日本製薬医学会 MA調査（2023年）</w:t>
        </w:r>
      </w:hyperlink>
    </w:p>
    <w:p>
      <w:pPr>
        <w:pStyle w:val="Heading2"/>
      </w:pPr>
      <w:r>
        <w:t xml:space="preserve">社会</w:t>
      </w:r>
    </w:p>
    <w:p>
      <w:pPr>
        <w:pStyle w:val="ListParagraph"/>
        <w:numPr>
          <w:ilvl w:val="0"/>
          <w:numId w:val="2"/>
        </w:numPr>
        <w:spacing w:after="60" w:line="300"/>
      </w:pPr>
      <w:hyperlink w:history="1" r:id="rIdo11jnkqqqp858jhwgnrrj">
        <w:r>
          <w:rPr>
            <w:rStyle w:val="Hyperlink"/>
          </w:rPr>
          <w:t xml:space="preserve">PwC：Medical Affairs Survey 2022（日本版）</w:t>
        </w:r>
      </w:hyperlink>
    </w:p>
    <w:p>
      <w:pPr>
        <w:pStyle w:val="ListParagraph"/>
        <w:numPr>
          <w:ilvl w:val="0"/>
          <w:numId w:val="2"/>
        </w:numPr>
        <w:spacing w:after="60" w:line="300"/>
      </w:pPr>
      <w:hyperlink w:history="1" r:id="rIdwvynmenmajflzylwualz0">
        <w:r>
          <w:rPr>
            <w:rStyle w:val="Hyperlink"/>
          </w:rPr>
          <w:t xml:space="preserve">PwC：Medical Affairs Survey 2022（PDF）</w:t>
        </w:r>
      </w:hyperlink>
    </w:p>
    <w:p>
      <w:pPr>
        <w:pStyle w:val="ListParagraph"/>
        <w:numPr>
          <w:ilvl w:val="0"/>
          <w:numId w:val="2"/>
        </w:numPr>
        <w:spacing w:after="60" w:line="300"/>
      </w:pPr>
      <w:hyperlink w:history="1" r:id="rIdyshice3srvnkm122ht8ja">
        <w:r>
          <w:rPr>
            <w:rStyle w:val="Hyperlink"/>
          </w:rPr>
          <w:t xml:space="preserve">McKinsey：Elevating the impact of medical affairs in Japan</w:t>
        </w:r>
      </w:hyperlink>
    </w:p>
    <w:p>
      <w:pPr>
        <w:pStyle w:val="ListParagraph"/>
        <w:numPr>
          <w:ilvl w:val="0"/>
          <w:numId w:val="2"/>
        </w:numPr>
        <w:spacing w:after="60" w:line="300"/>
      </w:pPr>
      <w:hyperlink w:history="1" r:id="rIdcvocrd6pms2yrmvzkk9ng">
        <w:r>
          <w:rPr>
            <w:rStyle w:val="Hyperlink"/>
          </w:rPr>
          <w:t xml:space="preserve">ZS：Medical affairs at a crossroads in Japan</w:t>
        </w:r>
      </w:hyperlink>
    </w:p>
    <w:p>
      <w:pPr>
        <w:pStyle w:val="ListParagraph"/>
        <w:numPr>
          <w:ilvl w:val="0"/>
          <w:numId w:val="2"/>
        </w:numPr>
        <w:spacing w:after="60" w:line="300"/>
      </w:pPr>
      <w:hyperlink w:history="1" r:id="rIdc5uslojz8xmvm-gvoq572">
        <w:r>
          <w:rPr>
            <w:rStyle w:val="Hyperlink"/>
          </w:rPr>
          <w:t xml:space="preserve">日本臨床試験学会雑誌：PROに関する報告（2026年）</w:t>
        </w:r>
      </w:hyperlink>
    </w:p>
    <w:p>
      <w:pPr>
        <w:pStyle w:val="ListParagraph"/>
        <w:numPr>
          <w:ilvl w:val="0"/>
          <w:numId w:val="2"/>
        </w:numPr>
        <w:spacing w:after="60" w:line="300"/>
      </w:pPr>
      <w:hyperlink w:history="1" r:id="rIdagdiyun76gfjj1x7hydru">
        <w:r>
          <w:rPr>
            <w:rStyle w:val="Hyperlink"/>
          </w:rPr>
          <w:t xml:space="preserve">MAPS：Workflows, Not Chatbots（PDF）</w:t>
        </w:r>
      </w:hyperlink>
    </w:p>
    <w:p>
      <w:pPr>
        <w:pStyle w:val="Heading2"/>
      </w:pPr>
      <w:r>
        <w:t xml:space="preserve">技術</w:t>
      </w:r>
    </w:p>
    <w:p>
      <w:pPr>
        <w:pStyle w:val="ListParagraph"/>
        <w:numPr>
          <w:ilvl w:val="0"/>
          <w:numId w:val="2"/>
        </w:numPr>
        <w:spacing w:after="60" w:line="300"/>
      </w:pPr>
      <w:hyperlink w:history="1" r:id="rIdxst2u99dfbf0tvrlcqxq0">
        <w:r>
          <w:rPr>
            <w:rStyle w:val="Hyperlink"/>
          </w:rPr>
          <w:t xml:space="preserve">マイナビニュース：中外製薬の生成AI活用</w:t>
        </w:r>
      </w:hyperlink>
    </w:p>
    <w:p>
      <w:pPr>
        <w:pStyle w:val="ListParagraph"/>
        <w:numPr>
          <w:ilvl w:val="0"/>
          <w:numId w:val="2"/>
        </w:numPr>
        <w:spacing w:after="60" w:line="300"/>
      </w:pPr>
      <w:hyperlink w:history="1" r:id="rIdpnavckl7ni3cm3a2orywt">
        <w:r>
          <w:rPr>
            <w:rStyle w:val="Hyperlink"/>
          </w:rPr>
          <w:t xml:space="preserve">MONOist：中外製薬 ChatGPT全社展開</w:t>
        </w:r>
      </w:hyperlink>
    </w:p>
    <w:p>
      <w:pPr>
        <w:pStyle w:val="ListParagraph"/>
        <w:numPr>
          <w:ilvl w:val="0"/>
          <w:numId w:val="2"/>
        </w:numPr>
        <w:spacing w:after="60" w:line="300"/>
      </w:pPr>
      <w:hyperlink w:history="1" r:id="rIdvc4sptxzi7azpldmrukst">
        <w:r>
          <w:rPr>
            <w:rStyle w:val="Hyperlink"/>
          </w:rPr>
          <w:t xml:space="preserve">AWS：中外製薬 導入事例</w:t>
        </w:r>
      </w:hyperlink>
    </w:p>
    <w:p>
      <w:pPr>
        <w:pStyle w:val="ListParagraph"/>
        <w:numPr>
          <w:ilvl w:val="0"/>
          <w:numId w:val="2"/>
        </w:numPr>
        <w:spacing w:after="60" w:line="300"/>
      </w:pPr>
      <w:hyperlink w:history="1" r:id="rIdmdodfvw3zbxpphvcqq45e">
        <w:r>
          <w:rPr>
            <w:rStyle w:val="Hyperlink"/>
          </w:rPr>
          <w:t xml:space="preserve">GII：ヘルスケア領域のエージェンティックAI市場</w:t>
        </w:r>
      </w:hyperlink>
    </w:p>
    <w:p>
      <w:pPr>
        <w:pStyle w:val="ListParagraph"/>
        <w:numPr>
          <w:ilvl w:val="0"/>
          <w:numId w:val="2"/>
        </w:numPr>
        <w:spacing w:after="60" w:line="300"/>
      </w:pPr>
      <w:hyperlink w:history="1" r:id="rIdqbamw4lgxlks99a7fus5o">
        <w:r>
          <w:rPr>
            <w:rStyle w:val="Hyperlink"/>
          </w:rPr>
          <w:t xml:space="preserve">Snowflake：ライフサイエンスAI予測 2026</w:t>
        </w:r>
      </w:hyperlink>
    </w:p>
    <w:p>
      <w:pPr>
        <w:pStyle w:val="ListParagraph"/>
        <w:numPr>
          <w:ilvl w:val="0"/>
          <w:numId w:val="2"/>
        </w:numPr>
        <w:spacing w:after="60" w:line="300"/>
      </w:pPr>
      <w:hyperlink w:history="1" r:id="rIdyjbhxhsz9mjxpv4ggxfmw">
        <w:r>
          <w:rPr>
            <w:rStyle w:val="Hyperlink"/>
          </w:rPr>
          <w:t xml:space="preserve">NRI コラム（生成AIのリスク）</w:t>
        </w:r>
      </w:hyperlink>
    </w:p>
    <w:p>
      <w:pPr>
        <w:pStyle w:val="ListParagraph"/>
        <w:numPr>
          <w:ilvl w:val="0"/>
          <w:numId w:val="2"/>
        </w:numPr>
        <w:spacing w:after="60" w:line="300"/>
      </w:pPr>
      <w:hyperlink w:history="1" r:id="rIdvtf9wrxz8xhsnztoqhh_e">
        <w:r>
          <w:rPr>
            <w:rStyle w:val="Hyperlink"/>
          </w:rPr>
          <w:t xml:space="preserve">さきがけ：4DIN RWD活用基盤強化（2026年9月）</w:t>
        </w:r>
      </w:hyperlink>
    </w:p>
    <w:p>
      <w:pPr>
        <w:pStyle w:val="Heading2"/>
      </w:pPr>
      <w:r>
        <w:t xml:space="preserve">競合</w:t>
      </w:r>
    </w:p>
    <w:p>
      <w:pPr>
        <w:pStyle w:val="ListParagraph"/>
        <w:numPr>
          <w:ilvl w:val="0"/>
          <w:numId w:val="2"/>
        </w:numPr>
        <w:spacing w:after="60" w:line="300"/>
      </w:pPr>
      <w:hyperlink w:history="1" r:id="rIdnomdgqiulcivcftrnle8t">
        <w:r>
          <w:rPr>
            <w:rStyle w:val="Hyperlink"/>
          </w:rPr>
          <w:t xml:space="preserve">Sorcero：シリーズB調達（MedPath）</w:t>
        </w:r>
      </w:hyperlink>
    </w:p>
    <w:p>
      <w:pPr>
        <w:pStyle w:val="ListParagraph"/>
        <w:numPr>
          <w:ilvl w:val="0"/>
          <w:numId w:val="2"/>
        </w:numPr>
        <w:spacing w:after="60" w:line="300"/>
      </w:pPr>
      <w:hyperlink w:history="1" r:id="rId09wdkwzgxm14oosxo7ntt">
        <w:r>
          <w:rPr>
            <w:rStyle w:val="Hyperlink"/>
          </w:rPr>
          <w:t xml:space="preserve">Sorcero：2026年秋リリース（Webull／PR Newswire）</w:t>
        </w:r>
      </w:hyperlink>
    </w:p>
    <w:p>
      <w:pPr>
        <w:pStyle w:val="ListParagraph"/>
        <w:numPr>
          <w:ilvl w:val="0"/>
          <w:numId w:val="2"/>
        </w:numPr>
        <w:spacing w:after="60" w:line="300"/>
      </w:pPr>
      <w:hyperlink w:history="1" r:id="rIdrviqvk4iyellvcb1y8iur">
        <w:r>
          <w:rPr>
            <w:rStyle w:val="Hyperlink"/>
          </w:rPr>
          <w:t xml:space="preserve">Within3 for Medical Affairs</w:t>
        </w:r>
      </w:hyperlink>
    </w:p>
    <w:p>
      <w:pPr>
        <w:pStyle w:val="ListParagraph"/>
        <w:numPr>
          <w:ilvl w:val="0"/>
          <w:numId w:val="2"/>
        </w:numPr>
        <w:spacing w:after="60" w:line="300"/>
      </w:pPr>
      <w:hyperlink w:history="1" r:id="rIduwefxn_6kofnot8y-hl7h">
        <w:r>
          <w:rPr>
            <w:rStyle w:val="Hyperlink"/>
          </w:rPr>
          <w:t xml:space="preserve">Genesis Research Group：EVID AI無償提供（PMLive）</w:t>
        </w:r>
      </w:hyperlink>
    </w:p>
    <w:p>
      <w:pPr>
        <w:pStyle w:val="ListParagraph"/>
        <w:numPr>
          <w:ilvl w:val="0"/>
          <w:numId w:val="2"/>
        </w:numPr>
        <w:spacing w:after="60" w:line="300"/>
      </w:pPr>
      <w:hyperlink w:history="1" r:id="rId1fowhhljgyekllvqddujs">
        <w:r>
          <w:rPr>
            <w:rStyle w:val="Hyperlink"/>
          </w:rPr>
          <w:t xml:space="preserve">IQVIA：Establishing an Integrated Evidence Plan</w:t>
        </w:r>
      </w:hyperlink>
    </w:p>
    <w:p>
      <w:pPr>
        <w:pStyle w:val="ListParagraph"/>
        <w:numPr>
          <w:ilvl w:val="0"/>
          <w:numId w:val="2"/>
        </w:numPr>
        <w:spacing w:after="60" w:line="300"/>
      </w:pPr>
      <w:hyperlink w:history="1" r:id="rIdbbyeczwgozkn4wtfld3nx">
        <w:r>
          <w:rPr>
            <w:rStyle w:val="Hyperlink"/>
          </w:rPr>
          <w:t xml:space="preserve">PwC Japan：ヘルスケア企業向け生成AI支援サービス</w:t>
        </w:r>
      </w:hyperlink>
    </w:p>
    <w:sectPr>
      <w:footerReference w:type="default" r:id="rId6"/>
      <w:pgSz w:w="11906" w:h="16838" w:orient="portrait"/>
      <w:pgMar w:top="1134" w:right="1020" w:bottom="1134"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rPr>
        <w:color w:val="1F4E79"/>
        <w:sz w:val="14"/>
        <w:szCs w:val="14"/>
      </w:rPr>
    </w:lvl>
    <w:lvl w:ilvl="1" w15:tentative="1">
      <w:start w:val="1"/>
      <w:numFmt w:val="bullet"/>
      <w:lvlText w:val="○"/>
      <w:lvlJc w:val="left"/>
      <w:pPr>
        <w:ind w:left="840" w:hanging="280"/>
      </w:pPr>
      <w:rPr>
        <w:color w:val="1F4E79"/>
        <w:sz w:val="14"/>
        <w:szCs w:val="14"/>
      </w:r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hAnsi="Yu Gothic" w:eastAsia="Yu Gothic" w:cs="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qFormat/>
    <w:pPr>
      <w:pBdr>
        <w:bottom w:val="single" w:color="1F4E79" w:sz="12" w:space="6"/>
      </w:pBdr>
      <w:spacing w:after="240"/>
    </w:pPr>
    <w:rPr>
      <w:rFonts w:ascii="Yu Gothic" w:hAnsi="Yu Gothic" w:eastAsia="Yu Gothic" w:cs="Yu Gothic"/>
      <w:b/>
      <w:bCs/>
      <w:color w:val="1F4E79"/>
      <w:sz w:val="34"/>
      <w:szCs w:val="34"/>
    </w:rPr>
  </w:style>
  <w:style w:type="paragraph" w:styleId="Heading1">
    <w:name w:val="Heading 1"/>
    <w:basedOn w:val="Normal"/>
    <w:next w:val="Normal"/>
    <w:qFormat/>
    <w:pPr>
      <w:spacing w:before="360" w:after="160"/>
      <w:outlineLvl w:val="0"/>
    </w:pPr>
    <w:rPr>
      <w:rFonts w:ascii="Yu Gothic" w:hAnsi="Yu Gothic" w:eastAsia="Yu Gothic" w:cs="Yu Gothic"/>
      <w:b/>
      <w:bCs/>
      <w:color w:val="1F4E79"/>
      <w:sz w:val="28"/>
      <w:szCs w:val="28"/>
    </w:rPr>
  </w:style>
  <w:style w:type="paragraph" w:styleId="Heading2">
    <w:name w:val="Heading 2"/>
    <w:basedOn w:val="Normal"/>
    <w:next w:val="Normal"/>
    <w:qFormat/>
    <w:pPr>
      <w:spacing w:before="240" w:after="120"/>
      <w:outlineLvl w:val="1"/>
    </w:pPr>
    <w:rPr>
      <w:rFonts w:ascii="Yu Gothic" w:hAnsi="Yu Gothic" w:eastAsia="Yu Gothic" w:cs="Yu Gothic"/>
      <w:b/>
      <w:bCs/>
      <w:color w:val="2E75B6"/>
      <w:sz w:val="24"/>
      <w:szCs w:val="24"/>
    </w:rPr>
  </w:style>
  <w:style w:type="paragraph" w:styleId="Heading3">
    <w:name w:val="Heading 3"/>
    <w:basedOn w:val="Normal"/>
    <w:next w:val="Normal"/>
    <w:qFormat/>
    <w:pPr>
      <w:spacing w:before="200" w:after="100"/>
      <w:outlineLvl w:val="2"/>
    </w:pPr>
    <w:rPr>
      <w:rFonts w:ascii="Yu Gothic" w:hAnsi="Yu Gothic" w:eastAsia="Yu Gothic" w:cs="Yu Gothic"/>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22kjheq5szjhj_lqkmtwl" Type="http://schemas.openxmlformats.org/officeDocument/2006/relationships/hyperlink" Target="https://www8.cao.go.jp/iryou/kouhou/pdf/kaisei_jisedaiiryou_rikatsuyou.pdf" TargetMode="External"/><Relationship Id="rIdfyxqj9xvjgilfk0k_yeje" Type="http://schemas.openxmlformats.org/officeDocument/2006/relationships/hyperlink" Target="https://www8.cao.go.jp/iryou/studygloup/20250903/pdf/s-4.pdf" TargetMode="External"/><Relationship Id="rIdddg0muzjc472t6o3j6ok3" Type="http://schemas.openxmlformats.org/officeDocument/2006/relationships/hyperlink" Target="https://www.yakuji.co.jp/?p=103197" TargetMode="External"/><Relationship Id="rIde7qcywqezt6nglz7xc3su" Type="http://schemas.openxmlformats.org/officeDocument/2006/relationships/hyperlink" Target="https://nk.jiho.jp/article/300268" TargetMode="External"/><Relationship Id="rIdd0mb8jnpfmqwa831apt3l" Type="http://schemas.openxmlformats.org/officeDocument/2006/relationships/hyperlink" Target="https://www.amed.go.jp/content/000149717.pdf" TargetMode="External"/><Relationship Id="rId-eweicy_7xnh7qa3-1ip8" Type="http://schemas.openxmlformats.org/officeDocument/2006/relationships/hyperlink" Target="https://mhlw-grants.niph.go.jp/system/files/download_pdf/2024/202403012A.pdf" TargetMode="External"/><Relationship Id="rIdyc_hlem2xalldptns7mqa" Type="http://schemas.openxmlformats.org/officeDocument/2006/relationships/hyperlink" Target="https://japhmed.jp/files/JAPhMed_20250513.pdf" TargetMode="External"/><Relationship Id="rIdf9mppwohjud4jng7_vij4" Type="http://schemas.openxmlformats.org/officeDocument/2006/relationships/hyperlink" Target="https://www.amt-law.com/asset/pdf/bulletins20_pdf/250530.pdf" TargetMode="External"/><Relationship Id="rIdoqd59qbmvuiskcw5ah429" Type="http://schemas.openxmlformats.org/officeDocument/2006/relationships/hyperlink" Target="https://www.nishimura.com/sites/default/files/newsletters/file/lifesciences_healthcare_240411_ja.pdf" TargetMode="External"/><Relationship Id="rIdn7ceun8tua5hgwkioqc67" Type="http://schemas.openxmlformats.org/officeDocument/2006/relationships/hyperlink" Target="https://www.mhlw.go.jp/content/11120000/000501927.pdf" TargetMode="External"/><Relationship Id="rIdokh8mkzun4gmd1gbgijbt" Type="http://schemas.openxmlformats.org/officeDocument/2006/relationships/hyperlink" Target="https://mhlw-grants.niph.go.jp/system/files/report_pdf/202424018A-buntan1.pdf" TargetMode="External"/><Relationship Id="rIdxhjfq1wmj_enxrey9evl3" Type="http://schemas.openxmlformats.org/officeDocument/2006/relationships/hyperlink" Target="https://www.phrma-jp.org/wordpress/wp-content/uploads/2018/08/opinion20180813.pdf" TargetMode="External"/><Relationship Id="rIdkgggfsauhchpahly1aa4q" Type="http://schemas.openxmlformats.org/officeDocument/2006/relationships/hyperlink" Target="https://www.cao.go.jp/press/new_wave/20251003.html" TargetMode="External"/><Relationship Id="rIdzwok4lnr_6c_z5ulyidpb" Type="http://schemas.openxmlformats.org/officeDocument/2006/relationships/hyperlink" Target="https://www8.cao.go.jp/cstp/gaiyo/yusikisha/20251120/siryo1.pdf" TargetMode="External"/><Relationship Id="rIdv44escoefuex2watgbnyu" Type="http://schemas.openxmlformats.org/officeDocument/2006/relationships/hyperlink" Target="https://businesslawyers.jp/articles/1475" TargetMode="External"/><Relationship Id="rIdsdtsp09f9fqajdzm59trv" Type="http://schemas.openxmlformats.org/officeDocument/2006/relationships/hyperlink" Target="https://www.phrma-jp.org/news/press-release/241225_pressrelease/" TargetMode="External"/><Relationship Id="rIdswsejqiuhleydnvtxlvwn" Type="http://schemas.openxmlformats.org/officeDocument/2006/relationships/hyperlink" Target="https://nk.jiho.jp/article/205529" TargetMode="External"/><Relationship Id="rIdst2qf4yvd9djtavo-zxoh" Type="http://schemas.openxmlformats.org/officeDocument/2006/relationships/hyperlink" Target="https://www.mhlw.go.jp/content/10808000/001514784.pdf" TargetMode="External"/><Relationship Id="rIdibah3wb7q58tlkslpevds" Type="http://schemas.openxmlformats.org/officeDocument/2006/relationships/hyperlink" Target="https://answers.and-pro.jp/pharmanews/30584/" TargetMode="External"/><Relationship Id="rIdqi95lvjgc_mcyk3rvr6yl" Type="http://schemas.openxmlformats.org/officeDocument/2006/relationships/hyperlink" Target="https://www.yakuji.co.jp/?p=123297" TargetMode="External"/><Relationship Id="rIdodmlwqfg9dwcwmpjrwwcy" Type="http://schemas.openxmlformats.org/officeDocument/2006/relationships/hyperlink" Target="https://nk.jiho.jp/article/182089" TargetMode="External"/><Relationship Id="rIdj6dnuhxrvbhvnieesbenf" Type="http://schemas.openxmlformats.org/officeDocument/2006/relationships/hyperlink" Target="https://answers.and-pro.jp/pharmanews/31410/" TargetMode="External"/><Relationship Id="rId5swv99iy_qlarhv0r5s3s" Type="http://schemas.openxmlformats.org/officeDocument/2006/relationships/hyperlink" Target="https://www.towardshealthcare.com/insights/medical-affairs-outsourcing-market-sizing" TargetMode="External"/><Relationship Id="rIddystnrf8ta6cgtxlibnla" Type="http://schemas.openxmlformats.org/officeDocument/2006/relationships/hyperlink" Target="https://www.yakuji.co.jp/?p=104519" TargetMode="External"/><Relationship Id="rIdo11jnkqqqp858jhwgnrrj" Type="http://schemas.openxmlformats.org/officeDocument/2006/relationships/hyperlink" Target="https://www.pwc.com/jp/ja/knowledge/thoughtleadership/medical-affairs-survey-2022.html" TargetMode="External"/><Relationship Id="rIdwvynmenmajflzylwualz0" Type="http://schemas.openxmlformats.org/officeDocument/2006/relationships/hyperlink" Target="https://pwc.com/jp/en/knowledge/thoughtleadership/assets/pdf/medical-affairs-survey-2022.pdf" TargetMode="External"/><Relationship Id="rIdyshice3srvnkm122ht8ja" Type="http://schemas.openxmlformats.org/officeDocument/2006/relationships/hyperlink" Target="https://www.mckinsey.com.br/jp/our-insights/elevating-the-impact-of-medical-affairs-in-japan" TargetMode="External"/><Relationship Id="rIdcvocrd6pms2yrmvzkk9ng" Type="http://schemas.openxmlformats.org/officeDocument/2006/relationships/hyperlink" Target="https://www.zs.com/content/dam/pdfs/Medical-affairs-at-a-crossroads-in-Japan.pdf" TargetMode="External"/><Relationship Id="rIdc5uslojz8xmvm-gvoq572" Type="http://schemas.openxmlformats.org/officeDocument/2006/relationships/hyperlink" Target="https://www.jstage.jst.go.jp/article/jjsctr/31/0/31_54/_article/-char/ja" TargetMode="External"/><Relationship Id="rIdagdiyun76gfjj1x7hydru" Type="http://schemas.openxmlformats.org/officeDocument/2006/relationships/hyperlink" Target="https://medicalaffairs.org/wp-content/uploads/2026/06/MAPS-Innovate-Article_Medical-Affairs-AI-Workflows-Not-Chatbots.pdf" TargetMode="External"/><Relationship Id="rIdxst2u99dfbf0tvrlcqxq0" Type="http://schemas.openxmlformats.org/officeDocument/2006/relationships/hyperlink" Target="https://news.mynavi.jp/techplus/article/20241126-3071879" TargetMode="External"/><Relationship Id="rIdpnavckl7ni3cm3a2orywt" Type="http://schemas.openxmlformats.org/officeDocument/2006/relationships/hyperlink" Target="https://monoist.itmedia.co.jp/mn/spv/2310/06/news056.html" TargetMode="External"/><Relationship Id="rIdvc4sptxzi7azpldmrukst" Type="http://schemas.openxmlformats.org/officeDocument/2006/relationships/hyperlink" Target="https://aws.amazon.com/jp/solutions/case-studies/chugai-pharm" TargetMode="External"/><Relationship Id="rIdmdodfvw3zbxpphvcqq45e" Type="http://schemas.openxmlformats.org/officeDocument/2006/relationships/hyperlink" Target="https://www.gii.co.jp/report/moi2061959-healthcare-agentic-ai-market-share-analysis.html" TargetMode="External"/><Relationship Id="rIdqbamw4lgxlks99a7fus5o" Type="http://schemas.openxmlformats.org/officeDocument/2006/relationships/hyperlink" Target="https://www.snowflake.com/ja/blog/life-sciences-ai-predictions-2026/" TargetMode="External"/><Relationship Id="rIdyjbhxhsz9mjxpv4ggxfmw" Type="http://schemas.openxmlformats.org/officeDocument/2006/relationships/hyperlink" Target="https://www.nri.com/jp/media/column/mcs_blog/20260326.html" TargetMode="External"/><Relationship Id="rIdvtf9wrxz8xhsnztoqhh_e" Type="http://schemas.openxmlformats.org/officeDocument/2006/relationships/hyperlink" Target="https://www.sakigake.jp/news/article/20260915PR0007/" TargetMode="External"/><Relationship Id="rIdnomdgqiulcivcftrnle8t" Type="http://schemas.openxmlformats.org/officeDocument/2006/relationships/hyperlink" Target="https://trial.medpath.com/news/sorcero-raises-42-5m-series-b-to-scale-ai-platform-for-life-sciences-evidence-generation" TargetMode="External"/><Relationship Id="rId09wdkwzgxm14oosxo7ntt" Type="http://schemas.openxmlformats.org/officeDocument/2006/relationships/hyperlink" Target="https://www.webull.com/news/15583219674203136" TargetMode="External"/><Relationship Id="rIdrviqvk4iyellvcb1y8iur" Type="http://schemas.openxmlformats.org/officeDocument/2006/relationships/hyperlink" Target="https://within3.com/within3-insights-management-platform-for-medical-affairs" TargetMode="External"/><Relationship Id="rIduwefxn_6kofnot8y-hl7h" Type="http://schemas.openxmlformats.org/officeDocument/2006/relationships/hyperlink" Target="https://pmlive.com/pmhub/genesis_research/genesis-research-group-launches-free-access-to-evid-ai-its-full-spectrum-evidence-synthesis-platform-through-2026/" TargetMode="External"/><Relationship Id="rId1fowhhljgyekllvqddujs" Type="http://schemas.openxmlformats.org/officeDocument/2006/relationships/hyperlink" Target="https://www.iqvia.com/locations/united-states/blogs/2021/10/establishing-an-integrated-evidence-plan-iep-for-medical-affairs-and-beyond" TargetMode="External"/><Relationship Id="rIdbbyeczwgozkn4wtfld3nx" Type="http://schemas.openxmlformats.org/officeDocument/2006/relationships/hyperlink" Target="https://www.pwc.com/jp/ja/press-room/generative-ai-for-healthcare-company230710.html" TargetMode="External"/><Relationship Id="rId5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2026-10-14T10:55:44.802Z</dcterms:created>
  <dcterms:modified xsi:type="dcterms:W3CDTF">2026-10-14T10:55:44.804Z</dcterms:modified>
</cp:coreProperties>
</file>

<file path=docProps/custom.xml><?xml version="1.0" encoding="utf-8"?>
<Properties xmlns="http://schemas.openxmlformats.org/officeDocument/2006/custom-properties" xmlns:vt="http://schemas.openxmlformats.org/officeDocument/2006/docPropsVTypes"/>
</file>