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FirstParagraph"/>
      </w:pPr>
      <w:r>
        <w:rPr>
          <w:bCs/>
          <w:b/>
        </w:rPr>
        <w:t xml:space="preserve">Daniel Smith</w:t>
      </w:r>
      <w:r>
        <w:br/>
      </w:r>
      <w:r>
        <w:rPr>
          <w:bCs/>
          <w:b/>
        </w:rPr>
        <w:t xml:space="preserve">Software Engineer — AI Systems, Platform &amp; Reliability</w:t>
      </w:r>
      <w:r>
        <w:br/>
      </w:r>
      <w:r>
        <w:t xml:space="preserve">Pacifica, CA (San Francisco Bay Area)</w:t>
      </w:r>
      <w:r>
        <w:br/>
      </w:r>
      <w:hyperlink r:id="rId20">
        <w:r>
          <w:rPr>
            <w:rStyle w:val="Hyperlink"/>
          </w:rPr>
          <w:t xml:space="preserve">daniel@danielsmith.io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1">
        <w:r>
          <w:rPr>
            <w:rStyle w:val="Hyperlink"/>
          </w:rPr>
          <w:t xml:space="preserve">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2">
        <w:r>
          <w:rPr>
            <w:rStyle w:val="Hyperlink"/>
          </w:rPr>
          <w:t xml:space="preserve">github.com/futuroptimist</w:t>
        </w:r>
      </w:hyperlink>
      <w:r>
        <w:t xml:space="preserve"> </w:t>
      </w:r>
      <w:r>
        <w:t xml:space="preserve"> | </w:t>
      </w:r>
      <w:r>
        <w:t xml:space="preserve"> </w:t>
      </w:r>
      <w:hyperlink r:id="rId23">
        <w:r>
          <w:rPr>
            <w:rStyle w:val="Hyperlink"/>
          </w:rPr>
          <w:t xml:space="preserve">linkedin.com/in/danielsmith4483</w:t>
        </w:r>
      </w:hyperlink>
    </w:p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Software engineer with 12+ years building production systems, including nearly seven years at</w:t>
      </w:r>
      <w:r>
        <w:t xml:space="preserve"> </w:t>
      </w:r>
      <w:r>
        <w:t xml:space="preserve">YouTube. Ships AI products end to end—from TypeScript/Svelte interfaces and Python/Go APIs to</w:t>
      </w:r>
      <w:r>
        <w:t xml:space="preserve"> </w:t>
      </w:r>
      <w:r>
        <w:t xml:space="preserve">local LLM inference—and builds the Kubernetes, delivery, observability, and incident-response</w:t>
      </w:r>
      <w:r>
        <w:t xml:space="preserve"> </w:t>
      </w:r>
      <w:r>
        <w:t xml:space="preserve">systems that keep them reliable.</w:t>
      </w:r>
    </w:p>
    <w:bookmarkEnd w:id="24"/>
    <w:bookmarkStart w:id="28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Independent Software Engineer — AI Products &amp; Infrastructure</w:t>
      </w:r>
      <w:r>
        <w:t xml:space="preserve"> </w:t>
      </w:r>
      <w:r>
        <w:t xml:space="preserve">Remote</w:t>
      </w:r>
      <w:r>
        <w:br/>
      </w:r>
      <w:r>
        <w:rPr>
          <w:iCs/>
          <w:i/>
        </w:rPr>
        <w:t xml:space="preserve">Independent Engineering</w:t>
      </w:r>
      <w:r>
        <w:t xml:space="preserve"> </w:t>
      </w:r>
      <w:r>
        <w:t xml:space="preserve">Jun 2025 — Present</w:t>
      </w:r>
    </w:p>
    <w:p>
      <w:pPr>
        <w:numPr>
          <w:ilvl w:val="0"/>
          <w:numId w:val="1001"/>
        </w:numPr>
      </w:pPr>
      <w:r>
        <w:t xml:space="preserve">Built</w:t>
      </w:r>
      <w:r>
        <w:t xml:space="preserve"> </w:t>
      </w:r>
      <w:hyperlink r:id="rId25">
        <w:r>
          <w:rPr>
            <w:rStyle w:val="Hyperlink"/>
            <w:bCs/>
            <w:b/>
          </w:rPr>
          <w:t xml:space="preserve">token.place</w:t>
        </w:r>
      </w:hyperlink>
      <w:r>
        <w:t xml:space="preserve">, a privacy-focused distributed LLM</w:t>
      </w:r>
      <w:r>
        <w:t xml:space="preserve"> </w:t>
      </w:r>
      <w:r>
        <w:t xml:space="preserve">platform with an OpenAI-compatible API, relay-blind end-to-end encryption, local inference, and</w:t>
      </w:r>
      <w:r>
        <w:t xml:space="preserve"> </w:t>
      </w:r>
      <w:r>
        <w:t xml:space="preserve">failover, cancellation, and recovery paths.</w:t>
      </w:r>
    </w:p>
    <w:p>
      <w:pPr>
        <w:numPr>
          <w:ilvl w:val="0"/>
          <w:numId w:val="1001"/>
        </w:numPr>
      </w:pPr>
      <w:r>
        <w:t xml:space="preserve">Implemented Tauri desktop compute-node work for</w:t>
      </w:r>
      <w:r>
        <w:t xml:space="preserve"> </w:t>
      </w:r>
      <w:hyperlink r:id="rId25">
        <w:r>
          <w:rPr>
            <w:rStyle w:val="Hyperlink"/>
            <w:bCs/>
            <w:b/>
          </w:rPr>
          <w:t xml:space="preserve">token.place</w:t>
        </w:r>
      </w:hyperlink>
      <w:r>
        <w:t xml:space="preserve"> </w:t>
      </w:r>
      <w:r>
        <w:t xml:space="preserve">on Windows CUDA and macOS Metal targets, with</w:t>
      </w:r>
      <w:r>
        <w:t xml:space="preserve"> </w:t>
      </w:r>
      <w:r>
        <w:t xml:space="preserve">deterministic long-context validation through the 64K tier.</w:t>
      </w:r>
    </w:p>
    <w:p>
      <w:pPr>
        <w:numPr>
          <w:ilvl w:val="0"/>
          <w:numId w:val="1001"/>
        </w:numPr>
      </w:pPr>
      <w:r>
        <w:t xml:space="preserve">Designed and operated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Sugarkube</w:t>
        </w:r>
      </w:hyperlink>
      <w:r>
        <w:t xml:space="preserve">,</w:t>
      </w:r>
      <w:r>
        <w:t xml:space="preserve"> </w:t>
      </w:r>
      <w:r>
        <w:t xml:space="preserve">a reusable multi-node Raspberry Pi k3s/Helm platform deploying</w:t>
      </w:r>
      <w:r>
        <w:t xml:space="preserve"> </w:t>
      </w:r>
      <w:hyperlink r:id="rId27">
        <w:r>
          <w:rPr>
            <w:rStyle w:val="Hyperlink"/>
            <w:bCs/>
            <w:b/>
          </w:rPr>
          <w:t xml:space="preserve">DSPACE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  <w:bCs/>
            <w:b/>
          </w:rPr>
          <w:t xml:space="preserve">token.place</w:t>
        </w:r>
      </w:hyperlink>
      <w:r>
        <w:t xml:space="preserve">, and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danielsmith.io</w:t>
        </w:r>
      </w:hyperlink>
      <w:r>
        <w:t xml:space="preserve"> </w:t>
      </w:r>
      <w:r>
        <w:t xml:space="preserve">through immutable OCI releases, health</w:t>
      </w:r>
      <w:r>
        <w:t xml:space="preserve"> </w:t>
      </w:r>
      <w:r>
        <w:t xml:space="preserve">gates, promotion, rollback, and recovery.</w:t>
      </w:r>
    </w:p>
    <w:p>
      <w:pPr>
        <w:numPr>
          <w:ilvl w:val="0"/>
          <w:numId w:val="1001"/>
        </w:numPr>
      </w:pPr>
      <w:r>
        <w:t xml:space="preserve">Shipped</w:t>
      </w:r>
      <w:r>
        <w:t xml:space="preserve"> </w:t>
      </w:r>
      <w:hyperlink r:id="rId27">
        <w:r>
          <w:rPr>
            <w:rStyle w:val="Hyperlink"/>
            <w:bCs/>
            <w:b/>
          </w:rPr>
          <w:t xml:space="preserve">DSPACE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danielsmith.io</w:t>
        </w:r>
      </w:hyperlink>
      <w:r>
        <w:t xml:space="preserve"> </w:t>
      </w:r>
      <w:r>
        <w:t xml:space="preserve">using Astro/Svelte/TypeScript products and</w:t>
      </w:r>
      <w:r>
        <w:t xml:space="preserve"> </w:t>
      </w:r>
      <w:r>
        <w:t xml:space="preserve">APIs with browser testing, offline and SSR safeguards, privacy and accessibility controls, and</w:t>
      </w:r>
      <w:r>
        <w:t xml:space="preserve"> </w:t>
      </w:r>
      <w:r>
        <w:t xml:space="preserve">WebGL-to-text failover; operated Prometheus, Grafana, PagerDuty, and Cloudflare integrations.</w:t>
      </w:r>
    </w:p>
    <w:p>
      <w:pPr>
        <w:pStyle w:val="FirstParagraph"/>
      </w:pPr>
      <w:r>
        <w:rPr>
          <w:bCs/>
          <w:b/>
        </w:rPr>
        <w:t xml:space="preserve">YouTube (Google)</w:t>
      </w:r>
      <w:r>
        <w:t xml:space="preserve"> </w:t>
      </w:r>
      <w:r>
        <w:t xml:space="preserve">San Bruno, CA</w:t>
      </w:r>
      <w:r>
        <w:br/>
      </w:r>
      <w:r>
        <w:rPr>
          <w:iCs/>
          <w:i/>
        </w:rPr>
        <w:t xml:space="preserve">Site Reliability Engineer</w:t>
      </w:r>
      <w:r>
        <w:t xml:space="preserve"> </w:t>
      </w:r>
      <w:r>
        <w:t xml:space="preserve">Sep 2018 – May 2025</w:t>
      </w:r>
    </w:p>
    <w:p>
      <w:pPr>
        <w:numPr>
          <w:ilvl w:val="0"/>
          <w:numId w:val="1002"/>
        </w:numPr>
      </w:pPr>
      <w:r>
        <w:t xml:space="preserve">Owned product-health metrics and leadership dashboards for high-traffic YouTube surfaces,</w:t>
      </w:r>
      <w:r>
        <w:t xml:space="preserve"> </w:t>
      </w:r>
      <w:r>
        <w:t xml:space="preserve">giving product and engineering teams a shared basis for reliability reviews and prioritization.</w:t>
      </w:r>
    </w:p>
    <w:p>
      <w:pPr>
        <w:numPr>
          <w:ilvl w:val="0"/>
          <w:numId w:val="1002"/>
        </w:numPr>
      </w:pPr>
      <w:r>
        <w:t xml:space="preserve">Built Python, Go, SQL, and C++ automation for monitoring, anomaly analysis, and operational</w:t>
      </w:r>
      <w:r>
        <w:t xml:space="preserve"> </w:t>
      </w:r>
      <w:r>
        <w:t xml:space="preserve">workflows across large-scale production systems.</w:t>
      </w:r>
    </w:p>
    <w:p>
      <w:pPr>
        <w:numPr>
          <w:ilvl w:val="0"/>
          <w:numId w:val="1002"/>
        </w:numPr>
      </w:pPr>
      <w:r>
        <w:t xml:space="preserve">Owned on-call and incident response across Core, Trust &amp; Safety, and Search SRE; guided</w:t>
      </w:r>
      <w:r>
        <w:t xml:space="preserve"> </w:t>
      </w:r>
      <w:r>
        <w:t xml:space="preserve">teams across Alphabet and authored reusable playbooks. Mentored engineers. Promoted in 2021.</w:t>
      </w:r>
    </w:p>
    <w:p>
      <w:pPr>
        <w:pStyle w:val="FirstParagraph"/>
      </w:pPr>
      <w:r>
        <w:rPr>
          <w:bCs/>
          <w:b/>
        </w:rPr>
        <w:t xml:space="preserve">Naval Research Laboratory</w:t>
      </w:r>
      <w:r>
        <w:t xml:space="preserve"> </w:t>
      </w:r>
      <w:r>
        <w:t xml:space="preserve">Stennis Space Center, MS</w:t>
      </w:r>
      <w:r>
        <w:br/>
      </w:r>
      <w:r>
        <w:rPr>
          <w:iCs/>
          <w:i/>
        </w:rPr>
        <w:t xml:space="preserve">Software Engineer</w:t>
      </w:r>
      <w:r>
        <w:t xml:space="preserve"> </w:t>
      </w:r>
      <w:r>
        <w:t xml:space="preserve">Jan 2017 – Sep 2018</w:t>
      </w:r>
    </w:p>
    <w:p>
      <w:pPr>
        <w:numPr>
          <w:ilvl w:val="0"/>
          <w:numId w:val="1003"/>
        </w:numPr>
      </w:pPr>
      <w:r>
        <w:t xml:space="preserve">Built C++/Qt data-processing applications for research workflows and delivered iterative</w:t>
      </w:r>
      <w:r>
        <w:t xml:space="preserve"> </w:t>
      </w:r>
      <w:r>
        <w:t xml:space="preserve">releases, demonstrations, and documentation in a distributed Scrum team.</w:t>
      </w:r>
    </w:p>
    <w:p>
      <w:pPr>
        <w:pStyle w:val="FirstParagraph"/>
      </w:pP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Hattiesburg, MS</w:t>
      </w:r>
      <w:r>
        <w:br/>
      </w:r>
      <w:r>
        <w:rPr>
          <w:iCs/>
          <w:i/>
        </w:rPr>
        <w:t xml:space="preserve">Software Developer</w:t>
      </w:r>
      <w:r>
        <w:t xml:space="preserve"> </w:t>
      </w:r>
      <w:r>
        <w:t xml:space="preserve">Mar 2014 – Dec 2016</w:t>
      </w:r>
    </w:p>
    <w:p>
      <w:pPr>
        <w:numPr>
          <w:ilvl w:val="0"/>
          <w:numId w:val="1004"/>
        </w:numPr>
      </w:pPr>
      <w:r>
        <w:t xml:space="preserve">Built an Objective-C content-delivery and networking framework for university iOS</w:t>
      </w:r>
      <w:r>
        <w:t xml:space="preserve"> </w:t>
      </w:r>
      <w:r>
        <w:t xml:space="preserve">applications, supporting real-time content updates.</w:t>
      </w:r>
    </w:p>
    <w:bookmarkEnd w:id="28"/>
    <w:bookmarkStart w:id="29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Python, Go, TypeScript/JavaScript, SQL, C++, Bash</w:t>
      </w:r>
      <w:r>
        <w:br/>
      </w:r>
      <w:r>
        <w:rPr>
          <w:bCs/>
          <w:b/>
        </w:rPr>
        <w:t xml:space="preserve">Systems &amp; Reliability:</w:t>
      </w:r>
      <w:r>
        <w:t xml:space="preserve"> </w:t>
      </w:r>
      <w:r>
        <w:t xml:space="preserve">Kubernetes, k3s, Helm, Docker/OCI, Linux, Google Cloud, GitHub</w:t>
      </w:r>
      <w:r>
        <w:t xml:space="preserve"> </w:t>
      </w:r>
      <w:r>
        <w:t xml:space="preserve">Actions, distributed systems, SLOs, incident response, Prometheus, Grafana, PagerDuty, monitoring</w:t>
      </w:r>
      <w:r>
        <w:t xml:space="preserve"> </w:t>
      </w:r>
      <w:r>
        <w:t xml:space="preserve">and alerting, CI/CD</w:t>
      </w:r>
      <w:r>
        <w:br/>
      </w:r>
      <w:r>
        <w:rPr>
          <w:bCs/>
          <w:b/>
        </w:rPr>
        <w:t xml:space="preserve">Product &amp; AI:</w:t>
      </w:r>
      <w:r>
        <w:t xml:space="preserve"> </w:t>
      </w:r>
      <w:r>
        <w:t xml:space="preserve">Svelte, React, Astro, Flask, REST/OpenAI-compatible APIs, local LLM</w:t>
      </w:r>
      <w:r>
        <w:t xml:space="preserve"> </w:t>
      </w:r>
      <w:r>
        <w:t xml:space="preserve">inference/model serving, Tauri, llama.cpp</w:t>
      </w:r>
    </w:p>
    <w:bookmarkEnd w:id="29"/>
    <w:bookmarkStart w:id="3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University of Southern Mississippi</w:t>
      </w:r>
      <w:r>
        <w:t xml:space="preserve"> </w:t>
      </w:r>
      <w:r>
        <w:t xml:space="preserve">— M.S. Computer Science (2016), B.S. Computer</w:t>
      </w:r>
      <w:r>
        <w:t xml:space="preserve"> </w:t>
      </w:r>
      <w:r>
        <w:t xml:space="preserve">Science (2015), GPA: 4.0</w:t>
      </w:r>
    </w:p>
    <w:bookmarkEnd w:id="30"/>
    <w:sectPr>
      <w:pgSz w:w="12240" w:h="15840"/>
      <w:pgMar w:top="864" w:right="864" w:bottom="864" w:left="864" w:header="360" w:footer="3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220" w:lineRule="auto"/>
    </w:pPr>
    <w:rPr>
      <w:rFonts w:ascii="Arial" w:hAnsi="Arial" w:eastAsia="Arial" w:cs="Arial"/>
      <w:sz w:val="20"/>
      <w:szCs w:val="20"/>
      <w:spacing w:val="-10"/>
    </w:rPr>
  </w:style>
  <w:style w:styleId="BodyText" w:type="paragraph">
    <w:name w:val="Body Text"/>
    <w:basedOn w:val="Normal"/>
    <w:link w:val="BodyTextChar"/>
    <w:pPr>
      <w:spacing w:after="0" w:before="0" w:line="220" w:lineRule="auto"/>
    </w:pPr>
    <w:qFormat/>
    <w:rPr>
      <w:rFonts w:ascii="Arial" w:hAnsi="Arial" w:eastAsia="Arial" w:cs="Arial"/>
      <w:sz w:val="20"/>
      <w:szCs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Compact" w:type="paragraph">
    <w:name w:val="Compact"/>
    <w:basedOn w:val="BodyText"/>
    <w:qFormat/>
    <w:pPr>
      <w:spacing w:after="0" w:before="0" w:line="220" w:lineRule="auto"/>
    </w:pPr>
    <w:rPr>
      <w:rFonts w:ascii="Arial" w:hAnsi="Arial" w:eastAsia="Arial" w:cs="Arial"/>
      <w:sz w:val="20"/>
      <w:szCs w:val="20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20" w:lineRule="auto"/>
      <w:jc w:val="center"/>
    </w:pPr>
    <w:rPr>
      <w:rFonts w:asciiTheme="majorHAnsi" w:cstheme="majorBidi" w:eastAsiaTheme="majorEastAsia" w:hAnsiTheme="majorHAnsi" w:ascii="Arial" w:hAnsi="Arial" w:eastAsia="Arial" w:cs="Arial"/>
      <w:b/>
      <w:bCs/>
      <w:color w:themeColor="accent1" w:themeShade="B5" w:val="345A8A"/>
      <w:sz w:val="28"/>
      <w:szCs w:val="28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20" w:lineRule="auto"/>
      <w:jc w:val="center"/>
    </w:pPr>
    <w:rPr>
      <w:sz w:val="20"/>
      <w:szCs w:val="20"/>
      <w:rFonts w:ascii="Arial" w:hAnsi="Arial" w:eastAsia="Arial" w:cs="Arial"/>
    </w:rPr>
  </w:style>
  <w:style w:customStyle="1" w:styleId="Author" w:type="paragraph">
    <w:name w:val="Author"/>
    <w:next w:val="BodyText"/>
    <w:qFormat/>
    <w:pPr>
      <w:keepNext/>
      <w:keepLines/>
      <w:jc w:val="center"/>
      <w:spacing w:before="0" w:after="0" w:line="220" w:lineRule="auto"/>
    </w:pPr>
    <w:rPr>
      <w:rFonts w:ascii="Arial" w:hAnsi="Arial" w:eastAsia="Arial" w:cs="Arial"/>
      <w:sz w:val="20"/>
      <w:szCs w:val="20"/>
    </w:rPr>
  </w:style>
  <w:style w:styleId="Date" w:type="paragraph">
    <w:name w:val="Date"/>
    <w:next w:val="BodyText"/>
    <w:qFormat/>
    <w:pPr>
      <w:keepNext/>
      <w:keepLines/>
      <w:jc w:val="center"/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0" w:line="220" w:lineRule="auto"/>
    </w:pPr>
    <w:rPr>
      <w:sz w:val="20"/>
      <w:szCs w:val="20"/>
      <w:b/>
      <w:color w:val="345A8A"/>
      &gt;
      <w:rFonts w:ascii="Arial" w:hAnsi="Arial" w:eastAsia="Arial" w:cs="Arial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220" w:lineRule="auto"/>
    </w:pPr>
    <w:rPr>
      <w:sz w:val="20"/>
      <w:szCs w:val="20"/>
      <w:rFonts w:ascii="Arial" w:hAnsi="Arial" w:eastAsia="Arial" w:cs="Arial"/>
    </w:rPr>
  </w:style>
  <w:style w:styleId="Bibliography" w:type="paragraph">
    <w:name w:val="Bibliography"/>
    <w:basedOn w:val="Normal"/>
    <w:next w:val="Bibliography"/>
    <w:qFormat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0" w:line="220" w:lineRule="auto"/>
      <w:outlineLvl w:val="0"/>
    </w:pPr>
    <w:rPr>
      <w:rFonts w:asciiTheme="majorHAnsi" w:cstheme="majorBidi" w:eastAsiaTheme="majorEastAsia" w:hAnsiTheme="majorHAnsi" w:ascii="Arial" w:hAnsi="Arial" w:eastAsia="Arial" w:cs="Arial"/>
      <w:b/>
      <w:bCs/>
      <w:color w:themeColor="accent1" w:val="4F81BD"/>
      <w:sz w:val="24"/>
      <w:szCs w:val="2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1"/>
    </w:pPr>
    <w:rPr>
      <w:rFonts w:asciiTheme="majorHAnsi" w:cstheme="majorBidi" w:eastAsiaTheme="majorEastAsia" w:hAnsiTheme="majorHAnsi" w:ascii="Arial" w:hAnsi="Arial" w:eastAsia="Arial" w:cs="Arial"/>
      <w:b/>
      <w:bCs/>
      <w:color w:themeColor="accent1" w:val="4F81BD"/>
      <w:sz w:val="21"/>
      <w:szCs w:val="21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2"/>
    </w:pPr>
    <w:rPr>
      <w:rFonts w:asciiTheme="majorHAnsi" w:cstheme="majorBidi" w:eastAsiaTheme="majorEastAsia" w:hAnsiTheme="majorHAnsi" w:ascii="Arial" w:hAnsi="Arial" w:eastAsia="Arial" w:cs="Arial"/>
      <w:b/>
      <w:bCs/>
      <w:color w:themeColor="accent1" w:val="4F81BD"/>
      <w:sz w:val="21"/>
      <w:szCs w:val="21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3"/>
    </w:pPr>
    <w:rPr>
      <w:rFonts w:asciiTheme="majorHAnsi" w:cstheme="majorBidi" w:eastAsiaTheme="majorEastAsia" w:hAnsiTheme="majorHAnsi" w:ascii="Arial" w:hAnsi="Arial" w:eastAsia="Arial" w:cs="Arial"/>
      <w:i/>
      <w:bCs/>
      <w:color w:themeColor="accent1" w:val="4F81BD"/>
      <w:sz w:val="20"/>
      <w:szCs w:val="2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4"/>
    </w:pPr>
    <w:rPr>
      <w:rFonts w:asciiTheme="majorHAnsi" w:cstheme="majorBidi" w:eastAsiaTheme="majorEastAsia" w:hAnsiTheme="majorHAnsi" w:ascii="Arial" w:hAnsi="Arial" w:eastAsia="Arial" w:cs="Arial"/>
      <w:iCs/>
      <w:color w:themeColor="accent1" w:val="4F81BD"/>
      <w:sz w:val="20"/>
      <w:szCs w:val="2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5"/>
    </w:pPr>
    <w:rPr>
      <w:rFonts w:asciiTheme="majorHAnsi" w:cstheme="majorBidi" w:eastAsiaTheme="majorEastAsia" w:hAnsiTheme="majorHAnsi" w:ascii="Arial" w:hAnsi="Arial" w:eastAsia="Arial" w:cs="Arial"/>
      <w:color w:themeColor="accent1" w:val="4F81BD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6"/>
    </w:pPr>
    <w:rPr>
      <w:rFonts w:asciiTheme="majorHAnsi" w:cstheme="majorBidi" w:eastAsiaTheme="majorEastAsia" w:hAnsiTheme="majorHAnsi" w:ascii="Arial" w:hAnsi="Arial" w:eastAsia="Arial" w:cs="Arial"/>
      <w:color w:themeColor="accent1" w:val="4F81BD"/>
      <w:sz w:val="20"/>
      <w:szCs w:val="20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7"/>
    </w:pPr>
    <w:rPr>
      <w:rFonts w:asciiTheme="majorHAnsi" w:cstheme="majorBidi" w:eastAsiaTheme="majorEastAsia" w:hAnsiTheme="majorHAnsi" w:ascii="Arial" w:hAnsi="Arial" w:eastAsia="Arial" w:cs="Arial"/>
      <w:color w:themeColor="accent1" w:val="4F81BD"/>
      <w:sz w:val="20"/>
      <w:szCs w:val="20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0" w:line="220" w:lineRule="auto"/>
      <w:outlineLvl w:val="8"/>
    </w:pPr>
    <w:rPr>
      <w:rFonts w:asciiTheme="majorHAnsi" w:cstheme="majorBidi" w:eastAsiaTheme="majorEastAsia" w:hAnsiTheme="majorHAnsi" w:ascii="Arial" w:hAnsi="Arial" w:eastAsia="Arial" w:cs="Arial"/>
      <w:color w:themeColor="accent1" w:val="4F81BD"/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20" w:lineRule="auto"/>
      <w:ind w:firstLine="0" w:left="480" w:right="480"/>
    </w:pPr>
    <w:rPr>
      <w:rFonts w:ascii="Arial" w:hAnsi="Arial" w:eastAsia="Arial" w:cs="Arial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default="1" w:styleId="DefaultParagraphFont" w:type="character">
    <w:name w:val="Default Paragraph Font"/>
    <w:semiHidden/>
    <w:unhideWhenUsed/>
    <w:rPr>
      <w:rFonts w:ascii="Arial" w:hAnsi="Arial" w:eastAsia="Arial" w:cs="Arial"/>
      <w:sz w:val="20"/>
      <w:szCs w:val="2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 w:line="220" w:lineRule="auto"/>
    </w:pPr>
    <w:rPr>
      <w:b/>
      <w:rFonts w:ascii="Arial" w:hAnsi="Arial" w:eastAsia="Arial" w:cs="Arial"/>
      <w:sz w:val="20"/>
      <w:szCs w:val="20"/>
    </w:rPr>
  </w:style>
  <w:style w:customStyle="1" w:styleId="Definition" w:type="paragraph">
    <w:name w:val="Definition"/>
    <w:basedOn w:val="Normal"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styleId="Caption" w:type="paragraph">
    <w:name w:val="Caption"/>
    <w:basedOn w:val="Normal"/>
    <w:link w:val="BodyTextChar"/>
    <w:pPr>
      <w:spacing w:after="0" w:before="0" w:line="220" w:lineRule="auto"/>
    </w:pPr>
    <w:rPr>
      <w:i/>
      <w:rFonts w:ascii="Arial" w:hAnsi="Arial" w:eastAsia="Arial" w:cs="Arial"/>
      <w:sz w:val="20"/>
      <w:szCs w:val="20"/>
    </w:rPr>
  </w:style>
  <w:style w:customStyle="1" w:styleId="TableCaption" w:type="paragraph">
    <w:name w:val="Table Caption"/>
    <w:basedOn w:val="Caption"/>
    <w:pPr>
      <w:keepNext/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ImageCaption" w:type="paragraph">
    <w:name w:val="Image Caption"/>
    <w:basedOn w:val="Caption"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Figure" w:type="paragraph">
    <w:name w:val="Figure"/>
    <w:basedOn w:val="Normal"/>
    <w:pPr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CaptionedFigure" w:type="paragraph">
    <w:name w:val="Captioned Figure"/>
    <w:basedOn w:val="Figure"/>
    <w:pPr>
      <w:keepNext/>
      <w:spacing w:before="0" w:after="0" w:line="220" w:lineRule="auto"/>
    </w:pPr>
    <w:rPr>
      <w:rFonts w:ascii="Arial" w:hAnsi="Arial" w:eastAsia="Arial" w:cs="Arial"/>
      <w:sz w:val="20"/>
      <w:szCs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eastAsia="Arial" w:cs="Arial"/>
      <w:sz w:val="20"/>
      <w:szCs w:val="20"/>
    </w:rPr>
  </w:style>
  <w:style w:customStyle="1" w:styleId="VerbatimChar" w:type="character">
    <w:name w:val="Verbatim Char"/>
    <w:basedOn w:val="BodyTextChar"/>
    <w:rPr>
      <w:rFonts w:ascii="Arial" w:hAnsi="Arial" w:eastAsia="Arial" w:cs="Arial"/>
      <w:sz w:val="20"/>
      <w:szCs w:val="20"/>
    </w:rPr>
  </w:style>
  <w:style w:customStyle="1" w:styleId="SectionNumber" w:type="character">
    <w:name w:val="Section Number"/>
    <w:basedOn w:val="BodyTextChar"/>
    <w:rPr>
      <w:rFonts w:ascii="Arial" w:hAnsi="Arial" w:eastAsia="Arial" w:cs="Arial"/>
      <w:sz w:val="20"/>
      <w:szCs w:val="20"/>
    </w:rPr>
  </w:style>
  <w:style w:styleId="FootnoteReference" w:type="character">
    <w:name w:val="Footnote Reference"/>
    <w:basedOn w:val="BodyTextChar"/>
    <w:rPr>
      <w:vertAlign w:val="superscript"/>
      <w:rFonts w:ascii="Arial" w:hAnsi="Arial" w:eastAsia="Arial" w:cs="Arial"/>
      <w:sz w:val="20"/>
      <w:szCs w:val="20"/>
    </w:rPr>
  </w:style>
  <w:style w:styleId="Hyperlink" w:type="character">
    <w:name w:val="Hyperlink"/>
    <w:basedOn w:val="BodyTextChar"/>
    <w:rPr>
      <w:color w:themeColor="accent1" w:val="4F81BD"/>
      <w:rFonts w:ascii="Arial" w:hAnsi="Arial" w:eastAsia="Arial" w:cs="Arial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20" w:lineRule="auto" w:after="0"/>
      <w:outlineLvl w:val="9"/>
    </w:pPr>
    <w:rPr>
      <w:rFonts w:asciiTheme="majorHAnsi" w:cstheme="majorBidi" w:eastAsiaTheme="majorEastAsia" w:hAnsiTheme="majorHAnsi" w:ascii="Arial" w:hAnsi="Arial" w:eastAsia="Arial" w:cs="Arial"/>
      <w:b w:val="0"/>
      <w:bCs w:val="0"/>
      <w:color w:themeColor="accent1" w:themeShade="BF" w:val="365F91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 w:line="220" w:lineRule="auto"/>
    </w:pPr>
    <w:rPr>
      <w:rFonts w:ascii="Arial" w:hAnsi="Arial" w:eastAsia="Arial" w:cs="Arial"/>
      <w:sz w:val="20"/>
      <w:szCs w:val="20"/>
    </w:rPr>
  </w:style>
  <w:style w:type="character" w:customStyle="1" w:styleId="KeywordTok">
    <w:name w:val="KeywordTok"/>
    <w:basedOn w:val="VerbatimChar"/>
    <w:rPr>
      <w:color w:val="007020"/>
      <w:b/>
      <w:rFonts w:ascii="Arial" w:hAnsi="Arial" w:eastAsia="Arial" w:cs="Arial"/>
      <w:sz w:val="20"/>
      <w:szCs w:val="20"/>
    </w:rPr>
  </w:style>
  <w:style w:type="character" w:customStyle="1" w:styleId="DataTypeTok">
    <w:name w:val="DataTypeTok"/>
    <w:basedOn w:val="VerbatimChar"/>
    <w:rPr>
      <w:color w:val="902000"/>
      <w:rFonts w:ascii="Arial" w:hAnsi="Arial" w:eastAsia="Arial" w:cs="Arial"/>
      <w:sz w:val="20"/>
      <w:szCs w:val="20"/>
    </w:rPr>
  </w:style>
  <w:style w:type="character" w:customStyle="1" w:styleId="DecValTok">
    <w:name w:val="DecValTok"/>
    <w:basedOn w:val="VerbatimChar"/>
    <w:rPr>
      <w:color w:val="40a070"/>
      <w:rFonts w:ascii="Arial" w:hAnsi="Arial" w:eastAsia="Arial" w:cs="Arial"/>
      <w:sz w:val="20"/>
      <w:szCs w:val="20"/>
    </w:rPr>
  </w:style>
  <w:style w:type="character" w:customStyle="1" w:styleId="BaseNTok">
    <w:name w:val="BaseNTok"/>
    <w:basedOn w:val="VerbatimChar"/>
    <w:rPr>
      <w:color w:val="40a070"/>
      <w:rFonts w:ascii="Arial" w:hAnsi="Arial" w:eastAsia="Arial" w:cs="Arial"/>
      <w:sz w:val="20"/>
      <w:szCs w:val="20"/>
    </w:rPr>
  </w:style>
  <w:style w:type="character" w:customStyle="1" w:styleId="FloatTok">
    <w:name w:val="FloatTok"/>
    <w:basedOn w:val="VerbatimChar"/>
    <w:rPr>
      <w:color w:val="40a070"/>
      <w:rFonts w:ascii="Arial" w:hAnsi="Arial" w:eastAsia="Arial" w:cs="Arial"/>
      <w:sz w:val="20"/>
      <w:szCs w:val="20"/>
    </w:rPr>
  </w:style>
  <w:style w:type="character" w:customStyle="1" w:styleId="ConstantTok">
    <w:name w:val="ConstantTok"/>
    <w:basedOn w:val="VerbatimChar"/>
    <w:rPr>
      <w:color w:val="880000"/>
      <w:rFonts w:ascii="Arial" w:hAnsi="Arial" w:eastAsia="Arial" w:cs="Arial"/>
      <w:sz w:val="20"/>
      <w:szCs w:val="20"/>
    </w:rPr>
  </w:style>
  <w:style w:type="character" w:customStyle="1" w:styleId="CharTok">
    <w:name w:val="CharTok"/>
    <w:basedOn w:val="VerbatimChar"/>
    <w:rPr>
      <w:color w:val="4070a0"/>
      <w:rFonts w:ascii="Arial" w:hAnsi="Arial" w:eastAsia="Arial" w:cs="Arial"/>
      <w:sz w:val="20"/>
      <w:szCs w:val="20"/>
    </w:rPr>
  </w:style>
  <w:style w:type="character" w:customStyle="1" w:styleId="SpecialCharTok">
    <w:name w:val="SpecialCharTok"/>
    <w:basedOn w:val="VerbatimChar"/>
    <w:rPr>
      <w:color w:val="4070a0"/>
      <w:rFonts w:ascii="Arial" w:hAnsi="Arial" w:eastAsia="Arial" w:cs="Arial"/>
      <w:sz w:val="20"/>
      <w:szCs w:val="20"/>
    </w:rPr>
  </w:style>
  <w:style w:type="character" w:customStyle="1" w:styleId="StringTok">
    <w:name w:val="StringTok"/>
    <w:basedOn w:val="VerbatimChar"/>
    <w:rPr>
      <w:color w:val="4070a0"/>
      <w:rFonts w:ascii="Arial" w:hAnsi="Arial" w:eastAsia="Arial" w:cs="Arial"/>
      <w:sz w:val="20"/>
      <w:szCs w:val="20"/>
    </w:rPr>
  </w:style>
  <w:style w:type="character" w:customStyle="1" w:styleId="VerbatimStringTok">
    <w:name w:val="VerbatimStringTok"/>
    <w:basedOn w:val="VerbatimChar"/>
    <w:rPr>
      <w:color w:val="4070a0"/>
      <w:rFonts w:ascii="Arial" w:hAnsi="Arial" w:eastAsia="Arial" w:cs="Arial"/>
      <w:sz w:val="20"/>
      <w:szCs w:val="20"/>
    </w:rPr>
  </w:style>
  <w:style w:type="character" w:customStyle="1" w:styleId="SpecialStringTok">
    <w:name w:val="SpecialStringTok"/>
    <w:basedOn w:val="VerbatimChar"/>
    <w:rPr>
      <w:color w:val="bb6688"/>
      <w:rFonts w:ascii="Arial" w:hAnsi="Arial" w:eastAsia="Arial" w:cs="Arial"/>
      <w:sz w:val="20"/>
      <w:szCs w:val="20"/>
    </w:rPr>
  </w:style>
  <w:style w:type="character" w:customStyle="1" w:styleId="ImportTok">
    <w:name w:val="ImportTok"/>
    <w:basedOn w:val="VerbatimChar"/>
    <w:rPr>
      <w:color w:val="008000"/>
      <w:b/>
      <w:rFonts w:ascii="Arial" w:hAnsi="Arial" w:eastAsia="Arial" w:cs="Arial"/>
      <w:sz w:val="20"/>
      <w:szCs w:val="20"/>
    </w:rPr>
  </w:style>
  <w:style w:type="character" w:customStyle="1" w:styleId="CommentTok">
    <w:name w:val="CommentTok"/>
    <w:basedOn w:val="VerbatimChar"/>
    <w:rPr>
      <w:color w:val="60a0b0"/>
      <w:i/>
      <w:rFonts w:ascii="Arial" w:hAnsi="Arial" w:eastAsia="Arial" w:cs="Arial"/>
      <w:sz w:val="20"/>
      <w:szCs w:val="20"/>
    </w:rPr>
  </w:style>
  <w:style w:type="character" w:customStyle="1" w:styleId="DocumentationTok">
    <w:name w:val="DocumentationTok"/>
    <w:basedOn w:val="VerbatimChar"/>
    <w:rPr>
      <w:color w:val="ba2121"/>
      <w:i/>
      <w:rFonts w:ascii="Arial" w:hAnsi="Arial" w:eastAsia="Arial" w:cs="Arial"/>
      <w:sz w:val="20"/>
      <w:szCs w:val="20"/>
    </w:rPr>
  </w:style>
  <w:style w:type="character" w:customStyle="1" w:styleId="AnnotationTok">
    <w:name w:val="AnnotationTok"/>
    <w:basedOn w:val="VerbatimChar"/>
    <w:rPr>
      <w:color w:val="60a0b0"/>
      <w:b/>
      <w:i/>
      <w:rFonts w:ascii="Arial" w:hAnsi="Arial" w:eastAsia="Arial" w:cs="Arial"/>
      <w:sz w:val="20"/>
      <w:szCs w:val="20"/>
    </w:rPr>
  </w:style>
  <w:style w:type="character" w:customStyle="1" w:styleId="CommentVarTok">
    <w:name w:val="CommentVarTok"/>
    <w:basedOn w:val="VerbatimChar"/>
    <w:rPr>
      <w:color w:val="60a0b0"/>
      <w:b/>
      <w:i/>
      <w:rFonts w:ascii="Arial" w:hAnsi="Arial" w:eastAsia="Arial" w:cs="Arial"/>
      <w:sz w:val="20"/>
      <w:szCs w:val="20"/>
    </w:rPr>
  </w:style>
  <w:style w:type="character" w:customStyle="1" w:styleId="OtherTok">
    <w:name w:val="OtherTok"/>
    <w:basedOn w:val="VerbatimChar"/>
    <w:rPr>
      <w:color w:val="007020"/>
      <w:rFonts w:ascii="Arial" w:hAnsi="Arial" w:eastAsia="Arial" w:cs="Arial"/>
      <w:sz w:val="20"/>
      <w:szCs w:val="20"/>
    </w:rPr>
  </w:style>
  <w:style w:type="character" w:customStyle="1" w:styleId="FunctionTok">
    <w:name w:val="FunctionTok"/>
    <w:basedOn w:val="VerbatimChar"/>
    <w:rPr>
      <w:color w:val="06287e"/>
      <w:rFonts w:ascii="Arial" w:hAnsi="Arial" w:eastAsia="Arial" w:cs="Arial"/>
      <w:sz w:val="20"/>
      <w:szCs w:val="20"/>
    </w:rPr>
  </w:style>
  <w:style w:type="character" w:customStyle="1" w:styleId="VariableTok">
    <w:name w:val="VariableTok"/>
    <w:basedOn w:val="VerbatimChar"/>
    <w:rPr>
      <w:color w:val="19177c"/>
      <w:rFonts w:ascii="Arial" w:hAnsi="Arial" w:eastAsia="Arial" w:cs="Arial"/>
      <w:sz w:val="20"/>
      <w:szCs w:val="20"/>
    </w:rPr>
  </w:style>
  <w:style w:type="character" w:customStyle="1" w:styleId="ControlFlowTok">
    <w:name w:val="ControlFlowTok"/>
    <w:basedOn w:val="VerbatimChar"/>
    <w:rPr>
      <w:color w:val="007020"/>
      <w:b/>
      <w:rFonts w:ascii="Arial" w:hAnsi="Arial" w:eastAsia="Arial" w:cs="Arial"/>
      <w:sz w:val="20"/>
      <w:szCs w:val="20"/>
    </w:rPr>
  </w:style>
  <w:style w:type="character" w:customStyle="1" w:styleId="OperatorTok">
    <w:name w:val="OperatorTok"/>
    <w:basedOn w:val="VerbatimChar"/>
    <w:rPr>
      <w:color w:val="666666"/>
      <w:rFonts w:ascii="Arial" w:hAnsi="Arial" w:eastAsia="Arial" w:cs="Arial"/>
      <w:sz w:val="20"/>
      <w:szCs w:val="20"/>
    </w:rPr>
  </w:style>
  <w:style w:type="character" w:customStyle="1" w:styleId="BuiltInTok">
    <w:name w:val="BuiltInTok"/>
    <w:basedOn w:val="VerbatimChar"/>
    <w:rPr>
      <w:color w:val="008000"/>
      <w:rFonts w:ascii="Arial" w:hAnsi="Arial" w:eastAsia="Arial" w:cs="Arial"/>
      <w:sz w:val="20"/>
      <w:szCs w:val="20"/>
    </w:rPr>
  </w:style>
  <w:style w:type="character" w:customStyle="1" w:styleId="ExtensionTok">
    <w:name w:val="ExtensionTok"/>
    <w:basedOn w:val="VerbatimChar"/>
    <w:rPr>
      <w:rFonts w:ascii="Arial" w:hAnsi="Arial" w:eastAsia="Arial" w:cs="Arial"/>
      <w:sz w:val="20"/>
      <w:szCs w:val="20"/>
    </w:rPr>
  </w:style>
  <w:style w:type="character" w:customStyle="1" w:styleId="PreprocessorTok">
    <w:name w:val="PreprocessorTok"/>
    <w:basedOn w:val="VerbatimChar"/>
    <w:rPr>
      <w:color w:val="bc7a00"/>
      <w:rFonts w:ascii="Arial" w:hAnsi="Arial" w:eastAsia="Arial" w:cs="Arial"/>
      <w:sz w:val="20"/>
      <w:szCs w:val="20"/>
    </w:rPr>
  </w:style>
  <w:style w:type="character" w:customStyle="1" w:styleId="AttributeTok">
    <w:name w:val="AttributeTok"/>
    <w:basedOn w:val="VerbatimChar"/>
    <w:rPr>
      <w:color w:val="7d9029"/>
      <w:rFonts w:ascii="Arial" w:hAnsi="Arial" w:eastAsia="Arial" w:cs="Arial"/>
      <w:sz w:val="20"/>
      <w:szCs w:val="20"/>
    </w:rPr>
  </w:style>
  <w:style w:type="character" w:customStyle="1" w:styleId="RegionMarkerTok">
    <w:name w:val="RegionMarkerTok"/>
    <w:basedOn w:val="VerbatimChar"/>
    <w:rPr>
      <w:rFonts w:ascii="Arial" w:hAnsi="Arial" w:eastAsia="Arial" w:cs="Arial"/>
      <w:sz w:val="20"/>
      <w:szCs w:val="20"/>
    </w:rPr>
  </w:style>
  <w:style w:type="character" w:customStyle="1" w:styleId="InformationTok">
    <w:name w:val="InformationTok"/>
    <w:basedOn w:val="VerbatimChar"/>
    <w:rPr>
      <w:color w:val="60a0b0"/>
      <w:b/>
      <w:i/>
      <w:rFonts w:ascii="Arial" w:hAnsi="Arial" w:eastAsia="Arial" w:cs="Arial"/>
      <w:sz w:val="20"/>
      <w:szCs w:val="20"/>
    </w:rPr>
  </w:style>
  <w:style w:type="character" w:customStyle="1" w:styleId="WarningTok">
    <w:name w:val="WarningTok"/>
    <w:basedOn w:val="VerbatimChar"/>
    <w:rPr>
      <w:color w:val="60a0b0"/>
      <w:b/>
      <w:i/>
      <w:rFonts w:ascii="Arial" w:hAnsi="Arial" w:eastAsia="Arial" w:cs="Arial"/>
      <w:sz w:val="20"/>
      <w:szCs w:val="20"/>
    </w:rPr>
  </w:style>
  <w:style w:type="character" w:customStyle="1" w:styleId="AlertTok">
    <w:name w:val="AlertTok"/>
    <w:basedOn w:val="VerbatimChar"/>
    <w:rPr>
      <w:color w:val="ff0000"/>
      <w:b/>
      <w:rFonts w:ascii="Arial" w:hAnsi="Arial" w:eastAsia="Arial" w:cs="Arial"/>
      <w:sz w:val="20"/>
      <w:szCs w:val="20"/>
    </w:rPr>
  </w:style>
  <w:style w:type="character" w:customStyle="1" w:styleId="ErrorTok">
    <w:name w:val="ErrorTok"/>
    <w:basedOn w:val="VerbatimChar"/>
    <w:rPr>
      <w:color w:val="ff0000"/>
      <w:b/>
      <w:rFonts w:ascii="Arial" w:hAnsi="Arial" w:eastAsia="Arial" w:cs="Arial"/>
      <w:sz w:val="20"/>
      <w:szCs w:val="20"/>
    </w:rPr>
  </w:style>
  <w:style w:type="character" w:customStyle="1" w:styleId="NormalTok">
    <w:name w:val="NormalTok"/>
    <w:basedOn w:val="VerbatimChar"/>
    <w:rPr>
      <w:rFonts w:ascii="Arial" w:hAnsi="Arial" w:eastAsia="Arial" w:cs="Arial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5" Target="https://token.place" TargetMode="External" /><Relationship Type="http://schemas.openxmlformats.org/officeDocument/2006/relationships/hyperlink" Id="rId20" Target="mailto:daniel@danielsmith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5" Target="https://token.place" TargetMode="External" /><Relationship Type="http://schemas.openxmlformats.org/officeDocument/2006/relationships/hyperlink" Id="rId20" Target="mailto:daniel@danielsmith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2026-08-10T00:12:52Z</dcterms:created>
  <dcterms:modified xsi:type="dcterms:W3CDTF">2026-08-10T00:12:52Z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