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Рассмотреть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</w:t>
      </w:r>
      <w:r>
        <w:t xml:space="preserve"> </w:t>
      </w:r>
      <w:r>
        <w:t xml:space="preserve">@fig:001</w:t>
      </w:r>
      <w:r>
        <w:t xml:space="preserve">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556000"/>
            <wp:effectExtent b="0" l="0" r="0" t="0"/>
            <wp:docPr descr="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556000"/>
            <wp:effectExtent b="0" l="0" r="0" t="0"/>
            <wp:docPr descr="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Фазовые траектории для второго случая</w:t>
      </w:r>
    </w:p>
    <w:p>
      <w:pPr>
        <w:pStyle w:val="BodyText"/>
      </w:pPr>
      <w:r>
        <w:t xml:space="preserve">Из Рисунка</w:t>
      </w:r>
      <w:r>
        <w:t xml:space="preserve"> </w:t>
      </w:r>
      <w:r>
        <w:t xml:space="preserve">@fig:002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31050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20002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();</w:t>
      </w:r>
    </w:p>
    <w:p>
      <w:pPr>
        <w:pStyle w:val="CaptionedFigure"/>
      </w:pPr>
      <w:bookmarkStart w:id="27" w:name="fig:003"/>
      <w:r>
        <w:drawing>
          <wp:inline>
            <wp:extent cx="5334000" cy="3556000"/>
            <wp:effectExtent b="0" l="0" r="0" t="0"/>
            <wp:docPr descr="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4"/>
      <w:r>
        <w:drawing>
          <wp:inline>
            <wp:extent cx="5334000" cy="3556000"/>
            <wp:effectExtent b="0" l="0" r="0" t="0"/>
            <wp:docPr descr="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29"/>
    <w:bookmarkStart w:id="30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22000</w:t>
      </w:r>
      <w:r>
        <w:br/>
      </w:r>
      <w:r>
        <w:rPr>
          <w:rStyle w:val="VerbatimChar"/>
        </w:rPr>
        <w:t xml:space="preserve">y0 = 19000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0.29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h = 0.29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0.71</w:t>
      </w:r>
      <w:r>
        <w:br/>
      </w:r>
      <w:r>
        <w:rPr>
          <w:rStyle w:val="VerbatimChar"/>
        </w:rPr>
        <w:t xml:space="preserve">c2 = 0.15</w:t>
      </w:r>
      <w:r>
        <w:br/>
      </w:r>
      <w:r>
        <w:rPr>
          <w:rStyle w:val="VerbatimChar"/>
        </w:rPr>
        <w:t xml:space="preserve">h2 = 0.77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2*math.sin(0.2*t)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2*math.cos(0.2*t)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Виноградова Варвара Станиславовна НФИбд-01-18</dc:creator>
  <dc:language>ru-RU</dc:language>
  <cp:keywords/>
  <dcterms:created xsi:type="dcterms:W3CDTF">2021-02-26T18:25:32Z</dcterms:created>
  <dcterms:modified xsi:type="dcterms:W3CDTF">2021-02-26T18:25:32Z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