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Станиславовна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t>12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10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[0, 0]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4 </w:t>
      </w:r>
      <w:r>
        <w:br/>
      </w:r>
      <w:r>
        <w:rPr>
          <w:rStyle w:val="VerbatimChar"/>
        </w:rPr>
        <w:t xml:space="preserve">g = 0.5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12 </w:t>
      </w:r>
      <w:r>
        <w:br/>
      </w:r>
      <w:r>
        <w:rPr>
          <w:rStyle w:val="VerbatimChar"/>
        </w:rPr>
        <w:t xml:space="preserve">g = 2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math.cos(12*t)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Виноградова Варвара Станиславовна НФИбд-01-18</dc:creator>
  <dc:language>ru-RU</dc:language>
  <cp:keywords/>
  <dcterms:created xsi:type="dcterms:W3CDTF">2021-03-06T12:59:41Z</dcterms:created>
  <dcterms:modified xsi:type="dcterms:W3CDTF">2021-03-06T12:59:41Z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гармонических колебаний - вариант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