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学术公式插入演示</w:t>
      </w:r>
    </w:p>
    <w:p>
      <w:r>
        <w:t>以下公式使用 academic-formula-inserter 的 LaTeX→OMML 转换引擎插入，可在 Word 中直接双击编辑。</w:t>
      </w:r>
    </w:p>
    <w:p>
      <w:pPr>
        <w:pStyle w:val="Heading2"/>
      </w:pPr>
      <w:r>
        <w:t>1. 质能方程</w:t>
      </w:r>
    </w:p>
    <w:p>
      <w:r>
        <w:t>爱因斯坦质能关系：</w:t>
      </w:r>
      <m:oMath>
        <m:r>
          <m:rPr>
            <m:ital m:val="1"/>
          </m:rPr>
          <m:t xml:space="preserve">E</m:t>
        </m:r>
        <m:r>
          <m:t xml:space="preserve">=</m:t>
        </m:r>
        <m:r>
          <m:rPr>
            <m:ital m:val="1"/>
          </m:rPr>
          <m:t xml:space="preserve">m</m:t>
        </m:r>
        <m:sSup>
          <m:e>
            <m:r>
              <m:rPr>
                <m:ital m:val="1"/>
              </m:rPr>
              <m:t xml:space="preserve">c</m:t>
            </m:r>
          </m:e>
          <m:lim>
            <m:r>
              <m:t xml:space="preserve">2</m:t>
            </m:r>
          </m:lim>
        </m:sSup>
      </m:oMath>
      <w:pPr>
        <w:jc w:val="center"/>
      </w:pPr>
      <w:r>
        <w:rPr/>
        <w:tab/>
      </w:r>
      <w:r>
        <w:rPr>
          <w:sz w:val="20"/>
          <w:rFonts w:ascii="Cambria Math" w:hAnsi="Cambria Math"/>
        </w:rPr>
        <w:rPr>
          <w:rStyle w:val="EquationNumber"/>
        </w:rPr>
        <w:t xml:space="preserve">(1)</w:t>
      </w:r>
    </w:p>
    <w:p>
      <w:pPr>
        <w:pStyle w:val="Heading2"/>
      </w:pPr>
      <w:r>
        <w:t>2. 求和公式</w:t>
      </w:r>
    </w:p>
    <w:p>
      <w:r>
        <w:t>离散求和定义：</w:t>
      </w:r>
      <m:oMathPara>
        <m:oMath>
          <m:sSubSup>
            <m:e>
              <m:r>
                <m:t xml:space="preserve">∑</m:t>
              </m:r>
            </m:e>
            <m:sub>
              <m:r>
                <m:rPr>
                  <m:ital m:val="1"/>
                </m:rPr>
                <m:t xml:space="preserve">i</m:t>
              </m:r>
              <m:r>
                <m:t xml:space="preserve">=</m:t>
              </m:r>
              <m:r>
                <m:t xml:space="preserve">1</m:t>
              </m:r>
            </m:sub>
            <m:sup>
              <m:r>
                <m:rPr>
                  <m:ital m:val="1"/>
                </m:rPr>
                <m:t xml:space="preserve">n</m:t>
              </m:r>
            </m:sup>
          </m:sSubSup>
          <m:sSub>
            <m:e>
              <m:r>
                <m:rPr>
                  <m:ital m:val="1"/>
                </m:rPr>
                <m:t xml:space="preserve">x</m:t>
              </m:r>
            </m:e>
            <m:lim>
              <m:r>
                <m:rPr>
                  <m:ital m:val="1"/>
                </m:rPr>
                <m:t xml:space="preserve">i</m:t>
              </m:r>
            </m:lim>
          </m:sSub>
        </m:oMath>
      </m:oMathPara>
      <w:pPr>
        <w:jc w:val="center"/>
      </w:pPr>
      <w:r>
        <w:rPr/>
        <w:tab/>
      </w:r>
      <w:r>
        <w:rPr>
          <w:sz w:val="20"/>
          <w:rFonts w:ascii="Cambria Math" w:hAnsi="Cambria Math"/>
        </w:rPr>
        <w:rPr>
          <w:rStyle w:val="EquationNumber"/>
        </w:rPr>
        <w:t xml:space="preserve">式(2)</w:t>
      </w:r>
    </w:p>
    <w:p>
      <w:pPr>
        <w:pStyle w:val="Heading2"/>
      </w:pPr>
      <w:r>
        <w:t>3. Sigmoid 激活函数</w:t>
      </w:r>
    </w:p>
    <w:p>
      <w:r>
        <w:t>Sigmoid 函数定义：</w:t>
      </w:r>
      <m:oMathPara>
        <m:oMath>
          <m:f>
            <m:num>
              <m:r>
                <m:t xml:space="preserve">1</m:t>
              </m:r>
            </m:num>
            <m:den>
              <m:r>
                <m:t xml:space="preserve">1</m:t>
              </m:r>
              <m:r>
                <m:t xml:space="preserve">+</m:t>
              </m:r>
              <m:sSup>
                <m:e>
                  <m:r>
                    <m:rPr>
                      <m:ital m:val="1"/>
                    </m:rPr>
                    <m:t xml:space="preserve">e</m:t>
                  </m:r>
                </m:e>
                <m:lim>
                  <m:r>
                    <m:t xml:space="preserve">−</m:t>
                  </m:r>
                  <m:r>
                    <m:rPr>
                      <m:ital m:val="1"/>
                    </m:rPr>
                    <m:t xml:space="preserve">x</m:t>
                  </m:r>
                </m:lim>
              </m:sSup>
            </m:den>
          </m:f>
        </m:oMath>
      </m:oMathPara>
      <w:pPr>
        <w:jc w:val="center"/>
      </w:pPr>
      <w:r>
        <w:rPr/>
        <w:tab/>
      </w:r>
      <w:r>
        <w:rPr>
          <w:sz w:val="20"/>
          <w:rFonts w:ascii="Cambria Math" w:hAnsi="Cambria Math"/>
        </w:rPr>
        <w:rPr>
          <w:rStyle w:val="EquationNumber"/>
        </w:rPr>
        <w:t xml:space="preserve">[3]</w:t>
      </w:r>
    </w:p>
    <w:p>
      <w:pPr>
        <w:pStyle w:val="Heading2"/>
      </w:pPr>
      <w:r>
        <w:t>4. 时序门控函数</w:t>
      </w:r>
    </w:p>
    <w:p>
      <w:r>
        <w:t>时域门控混合模型的核心公式：</w:t>
      </w:r>
      <m:oMathPara>
        <m:oMath>
          <m:sSub>
            <m:e>
              <m:r>
                <m:rPr>
                  <m:ital m:val="1"/>
                </m:rPr>
                <m:t xml:space="preserve">g</m:t>
              </m:r>
            </m:e>
            <m:lim>
              <m:r>
                <m:rPr>
                  <m:ital m:val="1"/>
                </m:rPr>
                <m:t xml:space="preserve">t</m:t>
              </m:r>
            </m:lim>
          </m:sSub>
          <m:r>
            <m:t xml:space="preserve">=</m:t>
          </m:r>
          <m:r>
            <m:t xml:space="preserve">σ</m:t>
          </m:r>
          <m:r>
            <m:t xml:space="preserve">(</m:t>
          </m:r>
          <m:sSub>
            <m:e>
              <m:r>
                <m:rPr>
                  <m:ital m:val="1"/>
                </m:rPr>
                <m:t xml:space="preserve">W</m:t>
              </m:r>
            </m:e>
            <m:lim>
              <m:r>
                <m:rPr>
                  <m:ital m:val="1"/>
                </m:rPr>
                <m:t xml:space="preserve">t</m:t>
              </m:r>
            </m:lim>
          </m:sSub>
          <m:sSub>
            <m:e>
              <m:r>
                <m:rPr>
                  <m:ital m:val="1"/>
                </m:rPr>
                <m:t xml:space="preserve">x</m:t>
              </m:r>
            </m:e>
            <m:lim>
              <m:r>
                <m:rPr>
                  <m:ital m:val="1"/>
                </m:rPr>
                <m:t xml:space="preserve">t</m:t>
              </m:r>
            </m:lim>
          </m:sSub>
          <m:r>
            <m:t xml:space="preserve">+</m:t>
          </m:r>
          <m:sSub>
            <m:e>
              <m:r>
                <m:rPr>
                  <m:ital m:val="1"/>
                </m:rPr>
                <m:t xml:space="preserve">b</m:t>
              </m:r>
            </m:e>
            <m:lim>
              <m:r>
                <m:rPr>
                  <m:ital m:val="1"/>
                </m:rPr>
                <m:t xml:space="preserve">t</m:t>
              </m:r>
            </m:lim>
          </m:sSub>
          <m:r>
            <m:t xml:space="preserve">)</m:t>
          </m:r>
        </m:oMath>
      </m:oMathPara>
      <w:pPr>
        <w:jc w:val="center"/>
      </w:pPr>
      <w:r>
        <w:rPr/>
        <w:tab/>
      </w:r>
      <w:r>
        <w:rPr>
          <w:sz w:val="20"/>
          <w:rFonts w:ascii="Cambria Math" w:hAnsi="Cambria Math"/>
        </w:rPr>
        <w:rPr>
          <w:rStyle w:val="EquationNumber"/>
        </w:rPr>
        <w:t xml:space="preserve">式(4)</w:t>
      </w:r>
    </w:p>
    <w:p>
      <w:pPr>
        <w:pStyle w:val="Heading2"/>
      </w:pPr>
      <w:r>
        <w:t>5. 损失函数</w:t>
      </w:r>
    </w:p>
    <w:p>
      <w:r>
        <w:t>多尺度时序预测模型损失函数：</w:t>
      </w:r>
      <m:oMathPara>
        <m:oMath>
          <m:r>
            <m:rPr>
              <m:ital m:val="1"/>
            </m:rPr>
            <m:t xml:space="preserve">L</m:t>
          </m:r>
          <m:r>
            <m:t xml:space="preserve">=</m:t>
          </m:r>
          <m:f>
            <m:num>
              <m:r>
                <m:t xml:space="preserve">1</m:t>
              </m:r>
            </m:num>
            <m:den>
              <m:r>
                <m:rPr>
                  <m:ital m:val="1"/>
                </m:rPr>
                <m:t xml:space="preserve">N</m:t>
              </m:r>
            </m:den>
          </m:f>
          <m:sSubSup>
            <m:e>
              <m:r>
                <m:t xml:space="preserve">∑</m:t>
              </m:r>
            </m:e>
            <m:sub>
              <m:r>
                <m:rPr>
                  <m:ital m:val="1"/>
                </m:rPr>
                <m:t xml:space="preserve">i</m:t>
              </m:r>
              <m:r>
                <m:t xml:space="preserve">=</m:t>
              </m:r>
              <m:r>
                <m:t xml:space="preserve">1</m:t>
              </m:r>
            </m:sub>
            <m:sup>
              <m:r>
                <m:rPr>
                  <m:ital m:val="1"/>
                </m:rPr>
                <m:t xml:space="preserve">N</m:t>
              </m:r>
            </m:sup>
          </m:sSubSup>
          <m:r>
            <m:t xml:space="preserve">(</m:t>
          </m:r>
          <m:sSub>
            <m:e>
              <m:r>
                <m:rPr>
                  <m:ital m:val="1"/>
                </m:rPr>
                <m:t xml:space="preserve">y</m:t>
              </m:r>
            </m:e>
            <m:lim>
              <m:r>
                <m:rPr>
                  <m:ital m:val="1"/>
                </m:rPr>
                <m:t xml:space="preserve">i</m:t>
              </m:r>
            </m:lim>
          </m:sSub>
          <m:r>
            <m:t xml:space="preserve">−</m:t>
          </m:r>
          <m:sSub>
            <m:e>
              <m:r>
                <m:rPr>
                  <m:ital m:val="1"/>
                </m:rPr>
                <m:t xml:space="preserve">y</m:t>
              </m:r>
            </m:e>
            <m:lim>
              <m:r>
                <m:rPr>
                  <m:ital m:val="1"/>
                </m:rPr>
                <m:t xml:space="preserve">i</m:t>
              </m:r>
            </m:lim>
          </m:sSub>
          <m:sSup>
            <m:e>
              <m:r>
                <m:t xml:space="preserve">)</m:t>
              </m:r>
            </m:e>
            <m:lim>
              <m:r>
                <m:t xml:space="preserve">2</m:t>
              </m:r>
            </m:lim>
          </m:sSup>
          <m:r>
            <m:t xml:space="preserve">+</m:t>
          </m:r>
          <m:r>
            <m:t xml:space="preserve">λ</m:t>
          </m:r>
          <m:r>
            <m:t xml:space="preserve">‖</m:t>
          </m:r>
          <m:r>
            <m:t xml:space="preserve">θ</m:t>
          </m:r>
          <m:sSubSup>
            <m:e>
              <m:r>
                <m:t xml:space="preserve">‖</m:t>
              </m:r>
            </m:e>
            <m:sub>
              <m:r>
                <m:t xml:space="preserve">2</m:t>
              </m:r>
            </m:sub>
            <m:sup>
              <m:r>
                <m:t xml:space="preserve">2</m:t>
              </m:r>
            </m:sup>
          </m:sSubSup>
        </m:oMath>
      </m:oMathPara>
      <w:pPr>
        <w:jc w:val="center"/>
      </w:pPr>
      <w:r>
        <w:rPr/>
        <w:tab/>
      </w:r>
      <w:r>
        <w:rPr>
          <w:sz w:val="20"/>
          <w:rFonts w:ascii="Cambria Math" w:hAnsi="Cambria Math"/>
        </w:rPr>
        <w:rPr>
          <w:rStyle w:val="EquationNumber"/>
        </w:rPr>
        <w:t xml:space="preserve">(5)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