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A92A31">
      <w:pPr>
        <w:jc w:val="left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1013460</wp:posOffset>
            </wp:positionH>
            <wp:positionV relativeFrom="paragraph">
              <wp:posOffset>384810</wp:posOffset>
            </wp:positionV>
            <wp:extent cx="1590675" cy="426085"/>
            <wp:effectExtent l="0" t="0" r="0" b="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duotone>
                        <a:srgbClr val="4472C4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61000"/>
                              </a14:imgEffect>
                              <a14:imgEffect>
                                <a14:colorTemperature colorTemp="952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4" t="38603" r="6046" b="39006"/>
                    <a:stretch>
                      <a:fillRect/>
                    </a:stretch>
                  </pic:blipFill>
                  <pic:spPr>
                    <a:xfrm>
                      <a:off x="0" y="0"/>
                      <a:ext cx="1590950" cy="4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059815" cy="84455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048" cy="8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C37">
      <w:pPr>
        <w:jc w:val="center"/>
      </w:pPr>
    </w:p>
    <w:p w14:paraId="35F8F7AB">
      <w:pPr>
        <w:jc w:val="center"/>
      </w:pPr>
    </w:p>
    <w:p w14:paraId="22AC58EF">
      <w:pPr>
        <w:jc w:val="center"/>
      </w:pPr>
    </w:p>
    <w:p w14:paraId="5042A8FE">
      <w:pPr>
        <w:jc w:val="center"/>
      </w:pPr>
    </w:p>
    <w:p w14:paraId="20B51129">
      <w:pPr>
        <w:jc w:val="center"/>
      </w:pPr>
    </w:p>
    <w:p w14:paraId="4CC5851E">
      <w:pPr>
        <w:jc w:val="center"/>
      </w:pPr>
    </w:p>
    <w:p w14:paraId="5765397F">
      <w:pPr>
        <w:jc w:val="center"/>
      </w:pPr>
    </w:p>
    <w:p w14:paraId="14200AF3">
      <w:pPr>
        <w:jc w:val="center"/>
      </w:pPr>
    </w:p>
    <w:p w14:paraId="317739AC">
      <w:pPr>
        <w:jc w:val="center"/>
        <w:rPr>
          <w:rFonts w:hint="eastAsia"/>
        </w:rPr>
      </w:pPr>
    </w:p>
    <w:p w14:paraId="7E6A39B2">
      <w:pPr>
        <w:jc w:val="center"/>
      </w:pPr>
    </w:p>
    <w:p w14:paraId="118708CB">
      <w:pPr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第十七届iCAN大学生创新创业大赛</w:t>
      </w:r>
    </w:p>
    <w:p w14:paraId="1515968A">
      <w:pPr>
        <w:jc w:val="center"/>
        <w:rPr>
          <w:rFonts w:hint="eastAsia" w:ascii="黑体" w:hAnsi="黑体" w:eastAsia="黑体"/>
          <w:sz w:val="44"/>
          <w:szCs w:val="44"/>
        </w:rPr>
      </w:pPr>
    </w:p>
    <w:p w14:paraId="508A5F46">
      <w:pPr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“</w:t>
      </w:r>
      <w:r>
        <w:rPr>
          <w:rFonts w:hint="eastAsia" w:ascii="黑体" w:hAnsi="黑体" w:eastAsia="黑体"/>
          <w:sz w:val="44"/>
          <w:szCs w:val="44"/>
          <w:lang w:val="en-US" w:eastAsia="zh-CN"/>
        </w:rPr>
        <w:t>基于Nginx的高可用分布式网关软件管理系统</w:t>
      </w:r>
      <w:r>
        <w:rPr>
          <w:rFonts w:hint="eastAsia" w:ascii="黑体" w:hAnsi="黑体" w:eastAsia="黑体"/>
          <w:sz w:val="44"/>
          <w:szCs w:val="44"/>
        </w:rPr>
        <w:t>”项目计划书</w:t>
      </w:r>
    </w:p>
    <w:p w14:paraId="2FB0ACD4">
      <w:pPr>
        <w:jc w:val="center"/>
      </w:pPr>
    </w:p>
    <w:p w14:paraId="4CA44B16">
      <w:pPr>
        <w:jc w:val="center"/>
      </w:pPr>
    </w:p>
    <w:p w14:paraId="43B7E79C">
      <w:pPr>
        <w:jc w:val="center"/>
      </w:pPr>
    </w:p>
    <w:p w14:paraId="22AC7A90">
      <w:pPr>
        <w:jc w:val="center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</w:rPr>
        <w:t>设计者：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董佳琪</w:t>
      </w:r>
      <w:r>
        <w:rPr>
          <w:rFonts w:hint="eastAsia" w:ascii="宋体" w:hAnsi="宋体" w:eastAsia="宋体"/>
          <w:b/>
          <w:sz w:val="28"/>
          <w:szCs w:val="28"/>
        </w:rPr>
        <w:t>，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原凯峰</w:t>
      </w:r>
      <w:r>
        <w:rPr>
          <w:rFonts w:hint="eastAsia" w:ascii="宋体" w:hAnsi="宋体" w:eastAsia="宋体"/>
          <w:b/>
          <w:sz w:val="28"/>
          <w:szCs w:val="28"/>
        </w:rPr>
        <w:t>，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刘宇扬</w:t>
      </w:r>
      <w:r>
        <w:rPr>
          <w:rFonts w:hint="eastAsia" w:ascii="宋体" w:hAnsi="宋体" w:eastAsia="宋体"/>
          <w:b/>
          <w:sz w:val="28"/>
          <w:szCs w:val="28"/>
        </w:rPr>
        <w:t>，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徐明洋</w:t>
      </w:r>
    </w:p>
    <w:p w14:paraId="72A651D5">
      <w:pPr>
        <w:jc w:val="center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</w:rPr>
        <w:t>指导老师：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毛新军</w:t>
      </w:r>
      <w:r>
        <w:rPr>
          <w:rFonts w:hint="eastAsia" w:ascii="宋体" w:hAnsi="宋体" w:eastAsia="宋体"/>
          <w:b/>
          <w:sz w:val="28"/>
          <w:szCs w:val="28"/>
        </w:rPr>
        <w:t>，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付军</w:t>
      </w:r>
    </w:p>
    <w:p w14:paraId="606AF81A">
      <w:pPr>
        <w:jc w:val="center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湖南 长沙</w:t>
      </w:r>
    </w:p>
    <w:p w14:paraId="262C7E5D">
      <w:pPr>
        <w:jc w:val="center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</w:t>
      </w:r>
      <w:r>
        <w:rPr>
          <w:rFonts w:ascii="宋体" w:hAnsi="宋体" w:eastAsia="宋体"/>
          <w:b/>
          <w:sz w:val="28"/>
          <w:szCs w:val="28"/>
        </w:rPr>
        <w:t>02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4</w:t>
      </w:r>
      <w:r>
        <w:rPr>
          <w:rFonts w:hint="eastAsia" w:ascii="宋体" w:hAnsi="宋体" w:eastAsia="宋体"/>
          <w:b/>
          <w:sz w:val="28"/>
          <w:szCs w:val="28"/>
        </w:rPr>
        <w:t>年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/>
          <w:b/>
          <w:sz w:val="28"/>
          <w:szCs w:val="28"/>
        </w:rPr>
        <w:t>月</w:t>
      </w:r>
    </w:p>
    <w:p w14:paraId="2801D9DF">
      <w:pPr>
        <w:jc w:val="center"/>
        <w:rPr>
          <w:rFonts w:ascii="宋体" w:hAnsi="宋体" w:eastAsia="宋体"/>
          <w:sz w:val="28"/>
          <w:szCs w:val="28"/>
        </w:rPr>
      </w:pPr>
    </w:p>
    <w:p w14:paraId="2BDF312A">
      <w:pPr>
        <w:jc w:val="center"/>
        <w:rPr>
          <w:rFonts w:hint="eastAsia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EE3A1F7"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目 录</w:t>
      </w:r>
    </w:p>
    <w:p w14:paraId="4C93D387">
      <w:pPr>
        <w:rPr>
          <w:rFonts w:ascii="黑体" w:hAnsi="黑体" w:eastAsia="黑体"/>
          <w:sz w:val="32"/>
          <w:szCs w:val="32"/>
        </w:rPr>
      </w:pPr>
    </w:p>
    <w:p w14:paraId="0E4AA70E">
      <w:pPr>
        <w:rPr>
          <w:rFonts w:ascii="黑体" w:hAnsi="黑体" w:eastAsia="黑体"/>
          <w:sz w:val="32"/>
          <w:szCs w:val="32"/>
        </w:rPr>
      </w:pPr>
    </w:p>
    <w:p w14:paraId="0FE96A0A">
      <w:pPr>
        <w:rPr>
          <w:rFonts w:ascii="黑体" w:hAnsi="黑体" w:eastAsia="黑体"/>
          <w:sz w:val="32"/>
          <w:szCs w:val="32"/>
        </w:rPr>
      </w:pPr>
    </w:p>
    <w:p w14:paraId="753D2337">
      <w:pPr>
        <w:jc w:val="center"/>
        <w:rPr>
          <w:rFonts w:ascii="黑体" w:hAnsi="黑体" w:eastAsia="黑体"/>
          <w:sz w:val="32"/>
          <w:szCs w:val="32"/>
        </w:rPr>
      </w:pPr>
    </w:p>
    <w:p w14:paraId="619B0586">
      <w:pPr>
        <w:jc w:val="center"/>
        <w:rPr>
          <w:rFonts w:hint="eastAsia" w:ascii="黑体" w:hAnsi="黑体" w:eastAsia="黑体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369D352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作品概述</w:t>
      </w:r>
    </w:p>
    <w:p w14:paraId="6A101041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659FC4E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2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研究背景与意义</w:t>
      </w:r>
    </w:p>
    <w:p w14:paraId="3D0F6765">
      <w:pPr>
        <w:spacing w:line="30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417479F3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2</w:t>
      </w:r>
      <w:r>
        <w:rPr>
          <w:rFonts w:ascii="黑体" w:hAnsi="黑体" w:eastAsia="黑体"/>
          <w:sz w:val="28"/>
          <w:szCs w:val="28"/>
        </w:rPr>
        <w:t xml:space="preserve">.1 </w:t>
      </w:r>
      <w:r>
        <w:rPr>
          <w:rFonts w:hint="eastAsia" w:ascii="黑体" w:hAnsi="黑体" w:eastAsia="黑体"/>
          <w:sz w:val="28"/>
          <w:szCs w:val="28"/>
        </w:rPr>
        <w:t>目标群体</w:t>
      </w:r>
    </w:p>
    <w:p w14:paraId="0A47655F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A8791B1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2</w:t>
      </w:r>
      <w:r>
        <w:rPr>
          <w:rFonts w:ascii="黑体" w:hAnsi="黑体" w:eastAsia="黑体"/>
          <w:sz w:val="28"/>
          <w:szCs w:val="28"/>
        </w:rPr>
        <w:t xml:space="preserve">.2 </w:t>
      </w:r>
      <w:r>
        <w:rPr>
          <w:rFonts w:hint="eastAsia" w:ascii="黑体" w:hAnsi="黑体" w:eastAsia="黑体"/>
          <w:sz w:val="28"/>
          <w:szCs w:val="28"/>
        </w:rPr>
        <w:t>技术背景</w:t>
      </w:r>
    </w:p>
    <w:p w14:paraId="7594AF7F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3EFB8C07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 xml:space="preserve">3. </w:t>
      </w:r>
      <w:r>
        <w:rPr>
          <w:rFonts w:hint="eastAsia" w:ascii="黑体" w:hAnsi="黑体" w:eastAsia="黑体"/>
          <w:sz w:val="30"/>
          <w:szCs w:val="30"/>
        </w:rPr>
        <w:t>设计方案</w:t>
      </w:r>
    </w:p>
    <w:p w14:paraId="7AEEA863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49C11C44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3</w:t>
      </w:r>
      <w:r>
        <w:rPr>
          <w:rFonts w:ascii="黑体" w:hAnsi="黑体" w:eastAsia="黑体"/>
          <w:sz w:val="28"/>
          <w:szCs w:val="28"/>
        </w:rPr>
        <w:t xml:space="preserve">.1 </w:t>
      </w:r>
      <w:r>
        <w:rPr>
          <w:rFonts w:hint="eastAsia" w:ascii="黑体" w:hAnsi="黑体" w:eastAsia="黑体"/>
          <w:sz w:val="28"/>
          <w:szCs w:val="28"/>
        </w:rPr>
        <w:t>总体方案</w:t>
      </w:r>
    </w:p>
    <w:p w14:paraId="7D2A5195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6C0FCD7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3</w:t>
      </w:r>
      <w:r>
        <w:rPr>
          <w:rFonts w:ascii="黑体" w:hAnsi="黑体" w:eastAsia="黑体"/>
          <w:sz w:val="28"/>
          <w:szCs w:val="28"/>
        </w:rPr>
        <w:t xml:space="preserve">.2 </w:t>
      </w:r>
      <w:r>
        <w:rPr>
          <w:rFonts w:hint="eastAsia" w:ascii="黑体" w:hAnsi="黑体" w:eastAsia="黑体"/>
          <w:sz w:val="28"/>
          <w:szCs w:val="28"/>
        </w:rPr>
        <w:t>分系统方案</w:t>
      </w:r>
    </w:p>
    <w:p w14:paraId="27C6F321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517EA964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4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理论分析</w:t>
      </w:r>
    </w:p>
    <w:p w14:paraId="43929F62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1183A78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5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作品/产品制作</w:t>
      </w:r>
    </w:p>
    <w:p w14:paraId="262FD4AA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777A0DCC">
      <w:pPr>
        <w:numPr>
          <w:ilvl w:val="0"/>
          <w:numId w:val="1"/>
        </w:numPr>
        <w:spacing w:line="300" w:lineRule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作品操作/使用方法</w:t>
      </w:r>
    </w:p>
    <w:p w14:paraId="01B0BC24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本系统是基于Nginx的网关管理软件系统，可以直接部署在用户的计算机或者虚拟机系统上。用户可以根据前端的网页界面使用各种功能。系统的各个功能之间较为独立，模块性高。如主动探测模块、数据分析模块、主备切换模块等模块之间关联性不大，方便用户使用。</w:t>
      </w:r>
    </w:p>
    <w:p w14:paraId="0101B27B">
      <w:pPr>
        <w:spacing w:line="300" w:lineRule="auto"/>
        <w:ind w:firstLine="560" w:firstLineChars="20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具体系统使用方法见附件一的成果演示模块。</w:t>
      </w:r>
    </w:p>
    <w:p w14:paraId="0B811CDD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7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创新性与推广性分析</w:t>
      </w:r>
    </w:p>
    <w:p w14:paraId="0F294691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968075C">
      <w:pPr>
        <w:spacing w:line="300" w:lineRule="auto"/>
        <w:ind w:firstLine="560" w:firstLineChars="20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7</w:t>
      </w:r>
      <w:r>
        <w:rPr>
          <w:rFonts w:ascii="黑体" w:hAnsi="黑体" w:eastAsia="黑体"/>
          <w:sz w:val="28"/>
          <w:szCs w:val="28"/>
        </w:rPr>
        <w:t xml:space="preserve">.1 </w:t>
      </w:r>
      <w:r>
        <w:rPr>
          <w:rFonts w:hint="eastAsia" w:ascii="黑体" w:hAnsi="黑体" w:eastAsia="黑体"/>
          <w:sz w:val="28"/>
          <w:szCs w:val="28"/>
        </w:rPr>
        <w:t>创新性分析</w:t>
      </w:r>
    </w:p>
    <w:p w14:paraId="20902409">
      <w:pPr>
        <w:spacing w:line="30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61247F02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7</w:t>
      </w:r>
      <w:r>
        <w:rPr>
          <w:rFonts w:ascii="黑体" w:hAnsi="黑体" w:eastAsia="黑体"/>
          <w:sz w:val="28"/>
          <w:szCs w:val="28"/>
        </w:rPr>
        <w:t xml:space="preserve">.2 </w:t>
      </w:r>
      <w:r>
        <w:rPr>
          <w:rFonts w:hint="eastAsia" w:ascii="黑体" w:hAnsi="黑体" w:eastAsia="黑体"/>
          <w:sz w:val="28"/>
          <w:szCs w:val="28"/>
        </w:rPr>
        <w:t>推广性分析</w:t>
      </w:r>
    </w:p>
    <w:p w14:paraId="5D5C55CD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693510A8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 xml:space="preserve">8. </w:t>
      </w:r>
      <w:r>
        <w:rPr>
          <w:rFonts w:hint="eastAsia" w:ascii="黑体" w:hAnsi="黑体" w:eastAsia="黑体"/>
          <w:sz w:val="30"/>
          <w:szCs w:val="30"/>
        </w:rPr>
        <w:t>作品/产品优势与价值战略</w:t>
      </w:r>
    </w:p>
    <w:p w14:paraId="261C9DA1">
      <w:pPr>
        <w:spacing w:line="300" w:lineRule="auto"/>
        <w:ind w:firstLine="562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优势方面</w:t>
      </w:r>
    </w:p>
    <w:p w14:paraId="71F4046C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主动探测</w:t>
      </w:r>
      <w:r>
        <w:rPr>
          <w:rFonts w:hint="eastAsia" w:ascii="宋体" w:hAnsi="宋体" w:eastAsia="宋体"/>
          <w:sz w:val="28"/>
          <w:szCs w:val="28"/>
        </w:rPr>
        <w:t>：</w:t>
      </w:r>
    </w:p>
    <w:p w14:paraId="2E5A0587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通过系统简单配置，利用主动健康探测模块实现对局域网、甚至是全互联网范围内网络服务器资源健康情况的主动探测，实时掌握网络服务存活状态。</w:t>
      </w:r>
    </w:p>
    <w:p w14:paraId="1D92D516">
      <w:pPr>
        <w:numPr>
          <w:ilvl w:val="0"/>
          <w:numId w:val="2"/>
        </w:num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目前，阿里已经研发出了基于Nginx的主动探测模块并用于商用。而我们系统的代码是开源的，方便用户使用。</w:t>
      </w:r>
    </w:p>
    <w:p w14:paraId="0DAEC529">
      <w:pPr>
        <w:numPr>
          <w:ilvl w:val="0"/>
          <w:numId w:val="2"/>
        </w:numPr>
        <w:spacing w:line="300" w:lineRule="auto"/>
        <w:ind w:firstLine="560" w:firstLineChars="20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一般的主动探测模块探测的数据不够全面，而且探测到的数据太过于原始，没有进行处理，界面难以阅读，难以快速获得有效的信息。</w:t>
      </w:r>
    </w:p>
    <w:p w14:paraId="066623C4">
      <w:pPr>
        <w:numPr>
          <w:numId w:val="0"/>
        </w:numPr>
        <w:spacing w:line="300" w:lineRule="auto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86690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697F">
      <w:pPr>
        <w:numPr>
          <w:numId w:val="0"/>
        </w:numPr>
        <w:spacing w:line="300" w:lineRule="auto"/>
        <w:ind w:firstLine="420" w:firstLineChars="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而我们的主动探测模块在使界面美观大方的基础之上，挖掘更多有用信息，方便用户使用。</w:t>
      </w:r>
    </w:p>
    <w:p w14:paraId="3CD9D23E">
      <w:pPr>
        <w:widowControl w:val="0"/>
        <w:numPr>
          <w:numId w:val="0"/>
        </w:numPr>
        <w:spacing w:line="300" w:lineRule="auto"/>
        <w:jc w:val="both"/>
      </w:pPr>
    </w:p>
    <w:p w14:paraId="7BE2A2B7">
      <w:pPr>
        <w:widowControl w:val="0"/>
        <w:numPr>
          <w:numId w:val="0"/>
        </w:numPr>
        <w:spacing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82570"/>
            <wp:effectExtent l="0" t="0" r="381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31AA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全局态势分析</w:t>
      </w:r>
      <w:r>
        <w:rPr>
          <w:rFonts w:hint="eastAsia" w:ascii="宋体" w:hAnsi="宋体" w:eastAsia="宋体"/>
          <w:sz w:val="28"/>
          <w:szCs w:val="28"/>
        </w:rPr>
        <w:t>：</w:t>
      </w:r>
    </w:p>
    <w:p w14:paraId="370FEECA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利用主动健康探测模块的探测结果和实时态势分析模块，精确掌握全局网络资源分布情况、网络服务访问活跃情况和网络资源全局健康态势。</w:t>
      </w:r>
    </w:p>
    <w:p w14:paraId="7765102A">
      <w:pPr>
        <w:spacing w:line="300" w:lineRule="auto"/>
        <w:ind w:firstLine="560" w:firstLineChars="20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市面上现有的网络管理软件功能强大，数据丰富，但是存在难以获取全局网络健康状态总体态势的不足。</w:t>
      </w:r>
    </w:p>
    <w:p w14:paraId="17E67A8F">
      <w:pPr>
        <w:spacing w:line="300" w:lineRule="auto"/>
        <w:ind w:firstLine="420" w:firstLineChars="200"/>
      </w:pPr>
      <w:r>
        <w:drawing>
          <wp:inline distT="0" distB="0" distL="114300" distR="114300">
            <wp:extent cx="5273675" cy="3426460"/>
            <wp:effectExtent l="0" t="0" r="146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64D1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而我们的系统在保证系统轻量化的基础之上，提供全面的信息，展示效果一目了然。在数据总控平台上，可以看到直观的系统总体态势，也可以看到细致的访问记录，同时也可以获得全面的服务器分布与健康状态统计。</w:t>
      </w:r>
    </w:p>
    <w:p w14:paraId="3A28E06B">
      <w:pPr>
        <w:spacing w:line="300" w:lineRule="auto"/>
        <w:ind w:firstLine="420" w:firstLineChars="20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910205"/>
            <wp:effectExtent l="0" t="0" r="1905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B939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前端主动调控网关灾备</w:t>
      </w:r>
      <w:r>
        <w:rPr>
          <w:rFonts w:hint="eastAsia" w:ascii="宋体" w:hAnsi="宋体" w:eastAsia="宋体"/>
          <w:sz w:val="28"/>
          <w:szCs w:val="28"/>
        </w:rPr>
        <w:t>：</w:t>
      </w:r>
    </w:p>
    <w:p w14:paraId="02E02D38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通常的网关灾备切换过程需要查看繁琐复杂的命令行信息，还要键入容易出错的切换指令。我们通过前端网络拓扑图展示当前的网关集群运行状态与联通情况，并允许直接点击网络节点做到远程操控网关的灾备状态。</w:t>
      </w:r>
    </w:p>
    <w:p w14:paraId="6B10F18B">
      <w:pPr>
        <w:spacing w:line="300" w:lineRule="auto"/>
        <w:ind w:firstLine="420" w:firstLineChars="200"/>
      </w:pPr>
      <w:r>
        <w:drawing>
          <wp:inline distT="0" distB="0" distL="114300" distR="114300">
            <wp:extent cx="5271135" cy="2655570"/>
            <wp:effectExtent l="0" t="0" r="1905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6160">
      <w:pPr>
        <w:spacing w:line="300" w:lineRule="auto"/>
        <w:ind w:firstLine="420" w:firstLineChars="200"/>
      </w:pPr>
    </w:p>
    <w:p w14:paraId="33CE3674">
      <w:pPr>
        <w:spacing w:line="300" w:lineRule="auto"/>
        <w:ind w:firstLine="562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价值战略：</w:t>
      </w:r>
    </w:p>
    <w:p w14:paraId="3D2F3F4C">
      <w:pPr>
        <w:spacing w:line="300" w:lineRule="auto"/>
        <w:ind w:firstLine="562" w:firstLineChars="200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高可用性与稳定性：</w:t>
      </w:r>
    </w:p>
    <w:p w14:paraId="3D018AE5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减少服务中断：通过Nginx的高可用配置，如负载均衡、故障转移等机制，确保系统在面对单点故障时能够迅速恢复服务，减少服务中断时间。</w:t>
      </w:r>
    </w:p>
    <w:p w14:paraId="17AA5BFE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提升系统稳定性：Nginx作为反向代理和负载均衡器，能够有效分散流量，减轻后端服务器的压力，从而提升整个系统的稳定性。</w:t>
      </w:r>
    </w:p>
    <w:p w14:paraId="6623FC9C">
      <w:pPr>
        <w:spacing w:line="300" w:lineRule="auto"/>
        <w:ind w:firstLine="562" w:firstLineChars="200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分布式架构支持：</w:t>
      </w:r>
    </w:p>
    <w:p w14:paraId="0394472F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灵活扩展：分布式架构使得系统能够根据需要灵活扩展，满足不断增长的业务需求。</w:t>
      </w:r>
    </w:p>
    <w:p w14:paraId="4EDD4634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负载均衡：Nginx内置强大的负载均衡功能，能够智能地将请求分发到多个后端服务器，提高系统的并发处理能力和响应速度。</w:t>
      </w:r>
    </w:p>
    <w:p w14:paraId="3138CD33">
      <w:pPr>
        <w:spacing w:line="300" w:lineRule="auto"/>
        <w:ind w:firstLine="562" w:firstLineChars="200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网关管理功能：</w:t>
      </w:r>
    </w:p>
    <w:p w14:paraId="57CC07B5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统一入口：作为分布式系统的网关，Nginx能够作为所有外部请求的统一入口，实现请求的路由、过滤、认证等功能。</w:t>
      </w:r>
    </w:p>
    <w:p w14:paraId="6FAAFE16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灵活配置：提供丰富的配置选项，支持动态配置更新，方便管理员根据业务需求进行灵活调整。</w:t>
      </w:r>
    </w:p>
    <w:p w14:paraId="787160EE">
      <w:pPr>
        <w:spacing w:line="300" w:lineRule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9</w:t>
      </w:r>
      <w:r>
        <w:rPr>
          <w:rFonts w:ascii="黑体" w:hAnsi="黑体" w:eastAsia="黑体"/>
          <w:sz w:val="30"/>
          <w:szCs w:val="30"/>
        </w:rPr>
        <w:t xml:space="preserve">. </w:t>
      </w:r>
      <w:r>
        <w:rPr>
          <w:rFonts w:hint="eastAsia" w:ascii="黑体" w:hAnsi="黑体" w:eastAsia="黑体"/>
          <w:sz w:val="30"/>
          <w:szCs w:val="30"/>
        </w:rPr>
        <w:t>推广方法</w:t>
      </w:r>
    </w:p>
    <w:p w14:paraId="00ECF524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9</w:t>
      </w:r>
      <w:r>
        <w:rPr>
          <w:rFonts w:ascii="黑体" w:hAnsi="黑体" w:eastAsia="黑体"/>
          <w:sz w:val="28"/>
          <w:szCs w:val="28"/>
        </w:rPr>
        <w:t xml:space="preserve">.1 </w:t>
      </w:r>
      <w:bookmarkStart w:id="0" w:name="_GoBack"/>
      <w:bookmarkEnd w:id="0"/>
    </w:p>
    <w:p w14:paraId="6EBFBC1D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1670D535">
      <w:pPr>
        <w:spacing w:line="300" w:lineRule="auto"/>
        <w:ind w:firstLine="560" w:firstLineChars="2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9</w:t>
      </w:r>
      <w:r>
        <w:rPr>
          <w:rFonts w:ascii="黑体" w:hAnsi="黑体" w:eastAsia="黑体"/>
          <w:sz w:val="28"/>
          <w:szCs w:val="28"/>
        </w:rPr>
        <w:t xml:space="preserve">.2 </w:t>
      </w:r>
    </w:p>
    <w:p w14:paraId="59EF7C0F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2FE3F062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0. </w:t>
      </w:r>
      <w:r>
        <w:rPr>
          <w:rFonts w:hint="eastAsia" w:ascii="黑体" w:hAnsi="黑体" w:eastAsia="黑体"/>
          <w:sz w:val="30"/>
          <w:szCs w:val="30"/>
        </w:rPr>
        <w:t>产品技术积累</w:t>
      </w:r>
    </w:p>
    <w:p w14:paraId="56C2CDE6">
      <w:pPr>
        <w:spacing w:line="300" w:lineRule="auto"/>
        <w:ind w:firstLine="560" w:firstLineChars="20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×××</w:t>
      </w:r>
    </w:p>
    <w:p w14:paraId="1D107393"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 xml:space="preserve">11. </w:t>
      </w:r>
      <w:r>
        <w:rPr>
          <w:rFonts w:hint="eastAsia" w:ascii="黑体" w:hAnsi="黑体" w:eastAsia="黑体"/>
          <w:sz w:val="30"/>
          <w:szCs w:val="30"/>
        </w:rPr>
        <w:t>附件</w:t>
      </w:r>
    </w:p>
    <w:p w14:paraId="6531395D">
      <w:pPr>
        <w:spacing w:line="300" w:lineRule="auto"/>
        <w:ind w:firstLine="560" w:firstLineChars="200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</w:rPr>
        <w:t>附件1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 xml:space="preserve"> 基于Nginx的高可用分布式网关软件管理系统演示视频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ADB8A7">
    <w:pPr>
      <w:pStyle w:val="3"/>
      <w:jc w:val="center"/>
    </w:pPr>
  </w:p>
  <w:p w14:paraId="5CD746BB"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55732637"/>
      <w:docPartObj>
        <w:docPartGallery w:val="autotext"/>
      </w:docPartObj>
    </w:sdtPr>
    <w:sdtContent>
      <w:p w14:paraId="4F7C75FC"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5D3FEDC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E9CBA"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5F5F9B"/>
    <w:multiLevelType w:val="singleLevel"/>
    <w:tmpl w:val="015F5F9B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4207F187"/>
    <w:multiLevelType w:val="singleLevel"/>
    <w:tmpl w:val="4207F18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k2YWY0Y2YxNGJlZGZkMmY5M2IzNzIwYjZjOGIwNmYifQ=="/>
  </w:docVars>
  <w:rsids>
    <w:rsidRoot w:val="00955D52"/>
    <w:rsid w:val="0011600F"/>
    <w:rsid w:val="00351E52"/>
    <w:rsid w:val="00465B62"/>
    <w:rsid w:val="00541885"/>
    <w:rsid w:val="00955D52"/>
    <w:rsid w:val="0098194C"/>
    <w:rsid w:val="00987773"/>
    <w:rsid w:val="00A84685"/>
    <w:rsid w:val="00AA1C85"/>
    <w:rsid w:val="00BF6DDB"/>
    <w:rsid w:val="00D54164"/>
    <w:rsid w:val="00EC0412"/>
    <w:rsid w:val="00ED32AE"/>
    <w:rsid w:val="00EF0B8C"/>
    <w:rsid w:val="00EF4D43"/>
    <w:rsid w:val="05E7143E"/>
    <w:rsid w:val="09287133"/>
    <w:rsid w:val="0A88502E"/>
    <w:rsid w:val="0F01517A"/>
    <w:rsid w:val="117060A0"/>
    <w:rsid w:val="13C364F9"/>
    <w:rsid w:val="1BCB22A8"/>
    <w:rsid w:val="21E639CC"/>
    <w:rsid w:val="30133FEC"/>
    <w:rsid w:val="31353D2A"/>
    <w:rsid w:val="31AD341F"/>
    <w:rsid w:val="358A1822"/>
    <w:rsid w:val="39206417"/>
    <w:rsid w:val="46276812"/>
    <w:rsid w:val="4FFA4F97"/>
    <w:rsid w:val="539667E4"/>
    <w:rsid w:val="54016571"/>
    <w:rsid w:val="571465F1"/>
    <w:rsid w:val="5E7216F6"/>
    <w:rsid w:val="74C432FA"/>
    <w:rsid w:val="79FF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microsoft.com/office/2007/relationships/hdphoto" Target="media/image2.wdp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E854C-192B-46FB-9737-FE303BD3F9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1088</Words>
  <Characters>1139</Characters>
  <Lines>48</Lines>
  <Paragraphs>52</Paragraphs>
  <TotalTime>50</TotalTime>
  <ScaleCrop>false</ScaleCrop>
  <LinksUpToDate>false</LinksUpToDate>
  <CharactersWithSpaces>1160</CharactersWithSpaces>
  <Application>WPS Office_12.1.0.17468_F1E327BC-269C-435d-A152-05C5408002CA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2023-07-17T00:37:00Z</dcterms:created>
  <dc:creator>lk</dc:creator>
  <cp:lastModifiedBy>但万豪</cp:lastModifiedBy>
  <dcterms:modified xsi:type="dcterms:W3CDTF">2024-09-03T08:25:43Z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F623A57B68A840A3AAE3D116B3CD2248_13</vt:lpwstr>
  </property>
</Properties>
</file>