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05705" w:rsidRDefault="00000000">
      <w:pPr>
        <w:spacing w:after="360"/>
        <w:jc w:val="center"/>
      </w:pPr>
      <w:r>
        <w:rPr>
          <w:rFonts w:ascii="Times New Roman" w:eastAsia="Times New Roman" w:hAnsi="Times New Roman"/>
          <w:b/>
          <w:sz w:val="28"/>
        </w:rPr>
        <w:t>Triangulating multimodal knowledge graph, heterogeneous graph transformer and direction-aware Mendelian randomization for anti-amyloid-β therapy ARIA risk stratification and synergistic repurposing in Alzheimer's disease</w:t>
      </w:r>
    </w:p>
    <w:p w:rsidR="00D05705" w:rsidRDefault="00000000">
      <w:pPr>
        <w:spacing w:after="120"/>
        <w:jc w:val="center"/>
      </w:pPr>
      <w:proofErr w:type="spellStart"/>
      <w:r>
        <w:rPr>
          <w:rFonts w:ascii="Times New Roman" w:eastAsia="Times New Roman" w:hAnsi="Times New Roman"/>
          <w:b/>
        </w:rPr>
        <w:t>Xuxia</w:t>
      </w:r>
      <w:proofErr w:type="spellEnd"/>
      <w:r>
        <w:rPr>
          <w:rFonts w:ascii="Times New Roman" w:eastAsia="Times New Roman" w:hAnsi="Times New Roman"/>
          <w:b/>
        </w:rPr>
        <w:t xml:space="preserve"> Song1*, </w:t>
      </w:r>
      <w:proofErr w:type="spellStart"/>
      <w:r w:rsidR="0093570D">
        <w:rPr>
          <w:rFonts w:ascii="Times New Roman" w:eastAsia="Times New Roman" w:hAnsi="Times New Roman"/>
          <w:b/>
          <w:lang w:eastAsia="zh-CN"/>
        </w:rPr>
        <w:t>W</w:t>
      </w:r>
      <w:r w:rsidR="0093570D">
        <w:rPr>
          <w:rFonts w:ascii="Times New Roman" w:eastAsia="Times New Roman" w:hAnsi="Times New Roman" w:hint="eastAsia"/>
          <w:b/>
          <w:lang w:eastAsia="zh-CN"/>
        </w:rPr>
        <w:t>en</w:t>
      </w:r>
      <w:r w:rsidR="0093570D">
        <w:rPr>
          <w:rFonts w:ascii="Times New Roman" w:eastAsia="Times New Roman" w:hAnsi="Times New Roman"/>
          <w:b/>
          <w:lang w:eastAsia="zh-CN"/>
        </w:rPr>
        <w:t>zhu</w:t>
      </w:r>
      <w:proofErr w:type="spellEnd"/>
      <w:r w:rsidR="0093570D">
        <w:rPr>
          <w:rFonts w:ascii="Times New Roman" w:eastAsia="Times New Roman" w:hAnsi="Times New Roman"/>
          <w:b/>
          <w:lang w:eastAsia="zh-CN"/>
        </w:rPr>
        <w:t xml:space="preserve">, Zhang, </w:t>
      </w:r>
      <w:proofErr w:type="spellStart"/>
      <w:r>
        <w:rPr>
          <w:rFonts w:ascii="Times New Roman" w:eastAsia="Times New Roman" w:hAnsi="Times New Roman" w:hint="eastAsia"/>
          <w:b/>
          <w:lang w:eastAsia="zh-CN"/>
        </w:rPr>
        <w:t>X</w:t>
      </w:r>
      <w:r>
        <w:rPr>
          <w:rFonts w:ascii="Times New Roman" w:eastAsia="Times New Roman" w:hAnsi="Times New Roman"/>
          <w:b/>
        </w:rPr>
        <w:t>ianjun</w:t>
      </w:r>
      <w:proofErr w:type="spellEnd"/>
      <w:r>
        <w:rPr>
          <w:rFonts w:ascii="Times New Roman" w:eastAsia="Times New Roman" w:hAnsi="Times New Roman"/>
          <w:b/>
        </w:rPr>
        <w:t xml:space="preserve"> Fu2,3</w:t>
      </w:r>
      <w:proofErr w:type="gramStart"/>
      <w:r>
        <w:rPr>
          <w:rFonts w:ascii="Times New Roman" w:eastAsia="Times New Roman" w:hAnsi="Times New Roman"/>
          <w:b/>
        </w:rPr>
        <w:t>*,†</w:t>
      </w:r>
      <w:proofErr w:type="gramEnd"/>
    </w:p>
    <w:p w:rsidR="00D05705" w:rsidRDefault="00000000">
      <w:pPr>
        <w:spacing w:after="360"/>
        <w:jc w:val="center"/>
      </w:pPr>
      <w:r>
        <w:rPr>
          <w:rFonts w:ascii="Times New Roman" w:eastAsia="Times New Roman" w:hAnsi="Times New Roman"/>
          <w:sz w:val="18"/>
        </w:rPr>
        <w:t>1 Department of Neurology, Qingdao Municipal Hospital, Qingdao 266071, China</w:t>
      </w:r>
      <w:r>
        <w:rPr>
          <w:rFonts w:ascii="Times New Roman" w:eastAsia="Times New Roman" w:hAnsi="Times New Roman"/>
          <w:sz w:val="18"/>
        </w:rPr>
        <w:br/>
        <w:t>2 Research Institute of Marine Traditional Chinese Medicine (Qingdao Academy of Chinese Medical Sciences), The SATCM’s Key Unit of Discovering and Developing New Marine TCM Drugs, Key Laboratory of Marine Traditional Chinese Medicine in Shandong Universities, Shandong University of Traditional Chinese Medicine, Qingdao 266114, China</w:t>
      </w:r>
      <w:r>
        <w:rPr>
          <w:rFonts w:ascii="Times New Roman" w:eastAsia="Times New Roman" w:hAnsi="Times New Roman"/>
          <w:sz w:val="18"/>
        </w:rPr>
        <w:br/>
        <w:t>3 Key Laboratory of Traditional Chinese Medicine Classical Theory, Ministry of Education, Shandong University of Traditional Chinese Medicine, Jinan 250355, China</w:t>
      </w:r>
      <w:r>
        <w:rPr>
          <w:rFonts w:ascii="Times New Roman" w:eastAsia="Times New Roman" w:hAnsi="Times New Roman"/>
          <w:sz w:val="18"/>
        </w:rPr>
        <w:br/>
      </w:r>
      <w:r>
        <w:rPr>
          <w:rFonts w:ascii="Times New Roman" w:eastAsia="Times New Roman" w:hAnsi="Times New Roman"/>
          <w:i/>
          <w:sz w:val="18"/>
        </w:rPr>
        <w:t xml:space="preserve">* Equal contribution; † Corresponding author: Xianjun Fu, Email: </w:t>
      </w:r>
      <w:r w:rsidR="005754E7">
        <w:rPr>
          <w:rFonts w:ascii="Times New Roman" w:eastAsia="Times New Roman" w:hAnsi="Times New Roman"/>
          <w:i/>
          <w:sz w:val="18"/>
        </w:rPr>
        <w:t>Fuxianjun</w:t>
      </w:r>
      <w:r>
        <w:rPr>
          <w:rFonts w:ascii="Times New Roman" w:eastAsia="Times New Roman" w:hAnsi="Times New Roman"/>
          <w:i/>
          <w:sz w:val="18"/>
        </w:rPr>
        <w:t>@sdutcm.edu.cn</w:t>
      </w:r>
    </w:p>
    <w:p w:rsidR="00D05705" w:rsidRDefault="00000000">
      <w:pPr>
        <w:spacing w:after="120"/>
      </w:pPr>
      <w:r>
        <w:rPr>
          <w:rFonts w:ascii="Times New Roman" w:eastAsia="Times New Roman" w:hAnsi="Times New Roman"/>
          <w:b/>
        </w:rPr>
        <w:t>Abstract</w:t>
      </w:r>
    </w:p>
    <w:p w:rsidR="00D05705" w:rsidRDefault="00000000">
      <w:pPr>
        <w:spacing w:after="240"/>
      </w:pPr>
      <w:r>
        <w:rPr>
          <w:rFonts w:ascii="Times New Roman" w:eastAsia="Times New Roman" w:hAnsi="Times New Roman"/>
          <w:sz w:val="20"/>
        </w:rPr>
        <w:t>Background: Anti-amyloid-β (Aβ) monoclonal antibodies (lecanemab, donanemab) represent the first disease-modifying therapies for Alzheimer's disease (AD), but their clinical utility is substantially constrained by amyloid-related imaging abnormalities (ARIA), particularly ARIA-H (hemosiderosis/microhemorrhage). Concomitant medications affecting hemostasis may modify ARIA risk, but systematic, evidence-based stratification remains absent. Methods: We constructed a 5-node, 7-edge multimodal knowledge graph (KG) integrating 1,284 drugs, 1,872 genes/proteins, 342 diseases, 126 pathways, and 87 clinical trials from open-source repositories (STITCH, ChEMBL, GWAS Catalog, FAERS, ClinicalTrials.gov, Reactome). A Heterogeneous Graph Transformer (HGT) was trained for tri-task link prediction: (1) drug repurposing for AD, (2) ARIA induction risk, (3) synergistic combination potential. We triangulated GNN outputs with direction-aware two-sample Mendelian randomization (MR) for causal target validation and brain eQTL colocalization for tissue specificity, using per-pool percentile normalization to address cross-distribution bias. Pharmacovigilance disproportionality analysis (ROR) was performed on 1,521 ARIA reports from FAERS. Results: The HGT model achieved AUC of 0.872/0.894/0.841 and average precision of 0.825/0.856/0.793 for repurposing/ARIA-risk/synergy prediction tasks, significantly outperforming MLP baselines. MR validated causal bleeding liability signals for VKORC1 (OR 0.549, 95%CI 0.330–0.915, p=0.021) and PTGS1 (OR 0.886, 95%CI 0.800–0.981, p=0.020). We propose a four-tier clinical risk stratification for 421 commonly used medications: Tier 1 (avoid: VKA, DOAC, P2Y12 inhibitors), Tier 2 (minimize: non-selective NSAIDs, high-dose aspirin), Tier 3 (monitor: COX-2 selective agents), Tier 4 (favorable: mast cell stabilizers). Five synergistic combination partners were prioritized (lead: lithium carbonate, fused score 0.86), with tramiprosate/ALZ-801 independently validated by phase III biomarker-positive results. Conclusions: This triangulated AI framework provides the first evidence-based ARIA risk stratification for concomitant medications and prioritizes combination partners with minimal bleeding liability. The open-source pipeline offers a generalizable paradigm for computationally de-risking disease-modifying AD therapy.</w:t>
      </w:r>
    </w:p>
    <w:p w:rsidR="00D05705" w:rsidRDefault="00000000">
      <w:pPr>
        <w:spacing w:after="360"/>
      </w:pPr>
      <w:r>
        <w:rPr>
          <w:rFonts w:ascii="Times New Roman" w:eastAsia="Times New Roman" w:hAnsi="Times New Roman"/>
          <w:b/>
          <w:sz w:val="20"/>
        </w:rPr>
        <w:t xml:space="preserve">Keywords: </w:t>
      </w:r>
      <w:r>
        <w:rPr>
          <w:rFonts w:ascii="Times New Roman" w:eastAsia="Times New Roman" w:hAnsi="Times New Roman"/>
          <w:i/>
          <w:sz w:val="20"/>
        </w:rPr>
        <w:t>Alzheimer's disease; Amyloid-related imaging abnormalities; Knowledge graph; Graph neural network; Mendelian randomization; Drug repurposing; Pharmacovigilance</w:t>
      </w:r>
    </w:p>
    <w:p w:rsidR="00D05705" w:rsidRDefault="00000000">
      <w:r>
        <w:rPr>
          <w:rFonts w:ascii="Times New Roman" w:eastAsia="Times New Roman" w:hAnsi="Times New Roman"/>
          <w:b/>
        </w:rPr>
        <w:t>Highlights</w:t>
      </w:r>
    </w:p>
    <w:p w:rsidR="00D05705" w:rsidRDefault="00000000">
      <w:pPr>
        <w:pStyle w:val="a0"/>
      </w:pPr>
      <w:r>
        <w:rPr>
          <w:rFonts w:ascii="Times New Roman" w:eastAsia="Times New Roman" w:hAnsi="Times New Roman"/>
          <w:sz w:val="19"/>
        </w:rPr>
        <w:t>Multimodal 5-node KG integrating pharmacovigilance, genetics, targets, trials and pathways for anti-Aβ ARIA risk</w:t>
      </w:r>
    </w:p>
    <w:p w:rsidR="00D05705" w:rsidRDefault="00000000">
      <w:pPr>
        <w:pStyle w:val="a0"/>
      </w:pPr>
      <w:r>
        <w:rPr>
          <w:rFonts w:ascii="Times New Roman" w:eastAsia="Times New Roman" w:hAnsi="Times New Roman"/>
          <w:sz w:val="19"/>
        </w:rPr>
        <w:t>Direction-aware two-sample MR triangulates HGT link predictions to establish causal target validity</w:t>
      </w:r>
    </w:p>
    <w:p w:rsidR="00D05705" w:rsidRDefault="00000000">
      <w:pPr>
        <w:pStyle w:val="a0"/>
      </w:pPr>
      <w:r>
        <w:rPr>
          <w:rFonts w:ascii="Times New Roman" w:eastAsia="Times New Roman" w:hAnsi="Times New Roman"/>
          <w:sz w:val="19"/>
        </w:rPr>
        <w:lastRenderedPageBreak/>
        <w:t>Per-pool percentile normalization resolves cross-distribution score bias between GNN-scored and expanded drug pools</w:t>
      </w:r>
    </w:p>
    <w:p w:rsidR="00D05705" w:rsidRDefault="00000000">
      <w:pPr>
        <w:pStyle w:val="a0"/>
      </w:pPr>
      <w:r>
        <w:rPr>
          <w:rFonts w:ascii="Times New Roman" w:eastAsia="Times New Roman" w:hAnsi="Times New Roman"/>
          <w:sz w:val="19"/>
        </w:rPr>
        <w:t>Four-tier evidence-based ARIA-H risk stratification for 421 concomitant medications, aligned with hemostatic pharmacology</w:t>
      </w:r>
    </w:p>
    <w:p w:rsidR="00D05705" w:rsidRDefault="00000000">
      <w:pPr>
        <w:pStyle w:val="a0"/>
      </w:pPr>
      <w:r>
        <w:rPr>
          <w:rFonts w:ascii="Times New Roman" w:eastAsia="Times New Roman" w:hAnsi="Times New Roman"/>
          <w:sz w:val="19"/>
        </w:rPr>
        <w:t>Synergistic partners and mechanism-anchored repurposing candidates prioritized with tramiprosate independently phase III validated</w:t>
      </w:r>
    </w:p>
    <w:p w:rsidR="00D05705" w:rsidRDefault="00D05705">
      <w:pPr>
        <w:spacing w:after="240"/>
      </w:pPr>
    </w:p>
    <w:p w:rsidR="00D05705" w:rsidRDefault="00000000">
      <w:pPr>
        <w:pStyle w:val="1"/>
      </w:pPr>
      <w:r>
        <w:rPr>
          <w:rFonts w:ascii="Times New Roman" w:eastAsia="Times New Roman" w:hAnsi="Times New Roman"/>
          <w:sz w:val="24"/>
        </w:rPr>
        <w:t>1. Introduction</w:t>
      </w:r>
    </w:p>
    <w:p w:rsidR="00D05705" w:rsidRDefault="00000000">
      <w:pPr>
        <w:spacing w:after="120"/>
        <w:ind w:firstLine="360"/>
      </w:pPr>
      <w:r>
        <w:rPr>
          <w:rFonts w:ascii="Times New Roman" w:eastAsia="Times New Roman" w:hAnsi="Times New Roman"/>
          <w:sz w:val="20"/>
        </w:rPr>
        <w:t>Alzheimer's disease (AD) represents the most common neurodegenerative disorder, affecting over 55 million people globally. The accelerated approval of anti-amyloid-β (Aβ) monoclonal antibodies—lecanemab and donanemab—marks a paradigm shift as the first disease-modifying therapies to demonstrate consistent amyloid clearance and cognitive benefit in early AD. However, their real-world implementation is substantially constrained by amyloid-related imaging abnormalities (ARIA), a class of treatment-emergent adverse events encompassing ARIA-E (edema/effusion) and ARIA-H (hemosiderosis/microhemorrhage).</w:t>
      </w:r>
    </w:p>
    <w:p w:rsidR="00D05705" w:rsidRDefault="00000000">
      <w:pPr>
        <w:spacing w:after="120"/>
        <w:ind w:firstLine="360"/>
      </w:pPr>
      <w:r>
        <w:rPr>
          <w:rFonts w:ascii="Times New Roman" w:eastAsia="Times New Roman" w:hAnsi="Times New Roman"/>
          <w:sz w:val="20"/>
        </w:rPr>
        <w:t>ARIA-H occurs in approximately 15–30% of treated patients, with symptomatic intracranial hemorrhage in 0.5–1.0% of cases, representing the most clinically significant safety concern. Concomitant medications affecting hemostasis—including anticoagulants, antiplatelet agents, and non-steroidal anti-inflammatory drugs (NSAIDs)—have been hypothesized to increase ARIA risk, but systematic, evidence-based stratification remains absent from current prescribing guidelines. Previous analyses have been limited to univariate pharmacovigilance signals or small subgroup analyses from registration trials, lacking causal genetic validation and mechanistic anchoring.</w:t>
      </w:r>
    </w:p>
    <w:p w:rsidR="00D05705" w:rsidRDefault="00000000">
      <w:pPr>
        <w:spacing w:after="120"/>
        <w:ind w:firstLine="360"/>
      </w:pPr>
      <w:r>
        <w:rPr>
          <w:rFonts w:ascii="Times New Roman" w:eastAsia="Times New Roman" w:hAnsi="Times New Roman"/>
          <w:sz w:val="20"/>
        </w:rPr>
        <w:t>Concurrently, the need for synergistic combination therapies to enhance Aβ clearance efficacy while mitigating ARIA risk is widely recognized, but candidate selection has been largely hypothesis-driven rather than systematically prioritized. Knowledge graphs (KGs) combined with graph neural networks (GNNs) offer a promising framework for multi-source data integration, yet few applications in AD have triangulated computational predictions with causal human genetic evidence to establish validity.</w:t>
      </w:r>
    </w:p>
    <w:p w:rsidR="00D05705" w:rsidRDefault="00000000">
      <w:pPr>
        <w:spacing w:after="120"/>
        <w:ind w:firstLine="360"/>
      </w:pPr>
      <w:r>
        <w:rPr>
          <w:rFonts w:ascii="Times New Roman" w:eastAsia="Times New Roman" w:hAnsi="Times New Roman"/>
          <w:sz w:val="20"/>
        </w:rPr>
        <w:t>In this study, we constructed a 5-node, 7-edge multimodal KG integrating open-source drug-target, genetic, pharmacovigilance, clinical trial, and pathway data. We trained a Heterogeneous Graph Transformer (HGT) for tri-task link prediction (repurposing, ARIA risk, synergy) and triangulated outputs with direction-aware two-sample Mendelian randomization (MR) and brain eQTL colocalization, using per-pool percentile normalization to address distributional bias. We provide: (1) a four-tier evidence-based ARIA-H risk stratification for 421 medications, (2) prioritized synergistic combination partners with minimal bleeding liability, and (3) mechanism-anchored repurposing candidates, with tramiprosate/ALZ-801 independently validated by recent phase III results.</w:t>
      </w:r>
    </w:p>
    <w:p w:rsidR="00D05705" w:rsidRDefault="00000000">
      <w:pPr>
        <w:pStyle w:val="1"/>
      </w:pPr>
      <w:r>
        <w:rPr>
          <w:rFonts w:ascii="Times New Roman" w:eastAsia="Times New Roman" w:hAnsi="Times New Roman"/>
          <w:sz w:val="24"/>
        </w:rPr>
        <w:t>2. Methods</w:t>
      </w:r>
    </w:p>
    <w:p w:rsidR="00D05705" w:rsidRDefault="00000000">
      <w:pPr>
        <w:pStyle w:val="21"/>
      </w:pPr>
      <w:r>
        <w:rPr>
          <w:rFonts w:ascii="Times New Roman" w:eastAsia="Times New Roman" w:hAnsi="Times New Roman"/>
          <w:sz w:val="22"/>
        </w:rPr>
        <w:t>2.1 Multimodal Knowledge Graph Construction</w:t>
      </w:r>
    </w:p>
    <w:p w:rsidR="00D05705" w:rsidRDefault="00000000">
      <w:pPr>
        <w:spacing w:after="120"/>
        <w:ind w:firstLine="360"/>
      </w:pPr>
      <w:r>
        <w:rPr>
          <w:rFonts w:ascii="Times New Roman" w:eastAsia="Times New Roman" w:hAnsi="Times New Roman"/>
          <w:sz w:val="20"/>
        </w:rPr>
        <w:t>We constructed a heterogeneous KG with five node types (drug, gene/protein, disease/phenotype, pathway, clinical trial) and seven edge types (drug-target, drug-disease, drug-ARIA adverse event, gene-AD association, gene-pathway membership, trial-drug intervention, drug-drug interaction). Data were integrated from six open-source repositories: STITCH and ChEMBL for drug-target interactions; the NHGRI-EBI GWAS Catalog for AD and bleeding phenotype genetic associations; the FDA Adverse Event Reporting System (FAERS) for pharmacovigilance signals; ClinicalTrials.gov for trial intervention arms; and Reactome for pathway membership.</w:t>
      </w:r>
    </w:p>
    <w:p w:rsidR="00D05705" w:rsidRDefault="00000000">
      <w:pPr>
        <w:spacing w:after="120"/>
        <w:ind w:firstLine="360"/>
      </w:pPr>
      <w:r>
        <w:rPr>
          <w:rFonts w:ascii="Times New Roman" w:eastAsia="Times New Roman" w:hAnsi="Times New Roman"/>
          <w:sz w:val="20"/>
        </w:rPr>
        <w:lastRenderedPageBreak/>
        <w:t>The final KG comprised 1,284 drug nodes (including all FDA-approved CNS agents, cardiovascular/hematological agents, anti-inflammatory drugs, and known AD pipeline compounds), 1,872 gene/protein nodes (restricted to druggable genome and AD-associated loci from large GWAS meta-analyses), 342 disease/phenotype nodes, 126 pathways, and 87 AD clinical trial nodes. All entities were mapped to standard identifiers (RxNorm, Ensembl, UMLS, Reactome ID, NCT ID). The graph was stored as Parquet edge lists for efficient GNN processing.</w:t>
      </w:r>
    </w:p>
    <w:p w:rsidR="00D05705" w:rsidRDefault="00000000">
      <w:r>
        <w:rPr>
          <w:noProof/>
        </w:rPr>
        <w:drawing>
          <wp:inline distT="0" distB="0" distL="0" distR="0">
            <wp:extent cx="5943600" cy="28482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kg_statistics.png"/>
                    <pic:cNvPicPr/>
                  </pic:nvPicPr>
                  <pic:blipFill>
                    <a:blip r:embed="rId6"/>
                    <a:stretch>
                      <a:fillRect/>
                    </a:stretch>
                  </pic:blipFill>
                  <pic:spPr>
                    <a:xfrm>
                      <a:off x="0" y="0"/>
                      <a:ext cx="5943600" cy="2848216"/>
                    </a:xfrm>
                    <a:prstGeom prst="rect">
                      <a:avLst/>
                    </a:prstGeom>
                  </pic:spPr>
                </pic:pic>
              </a:graphicData>
            </a:graphic>
          </wp:inline>
        </w:drawing>
      </w:r>
    </w:p>
    <w:p w:rsidR="00D05705" w:rsidRDefault="00000000">
      <w:pPr>
        <w:spacing w:after="240"/>
        <w:jc w:val="center"/>
      </w:pPr>
      <w:r>
        <w:rPr>
          <w:rFonts w:ascii="Times New Roman" w:eastAsia="Times New Roman" w:hAnsi="Times New Roman"/>
          <w:i/>
          <w:sz w:val="18"/>
        </w:rPr>
        <w:t>Figure 2. Multimodal knowledge graph node and edge type distribution for AD anti-Aβ therapy analysis.</w:t>
      </w:r>
    </w:p>
    <w:p w:rsidR="00D05705" w:rsidRDefault="00000000">
      <w:pPr>
        <w:pStyle w:val="21"/>
      </w:pPr>
      <w:r>
        <w:rPr>
          <w:rFonts w:ascii="Times New Roman" w:eastAsia="Times New Roman" w:hAnsi="Times New Roman"/>
          <w:sz w:val="22"/>
        </w:rPr>
        <w:t>2.2 Heterogeneous Graph Transformer Tri-task Link Prediction</w:t>
      </w:r>
    </w:p>
    <w:p w:rsidR="00D05705" w:rsidRDefault="00000000">
      <w:pPr>
        <w:spacing w:after="120"/>
        <w:ind w:firstLine="360"/>
      </w:pPr>
      <w:r>
        <w:rPr>
          <w:rFonts w:ascii="Times New Roman" w:eastAsia="Times New Roman" w:hAnsi="Times New Roman"/>
          <w:sz w:val="20"/>
        </w:rPr>
        <w:t>We trained a Heterogeneous Graph Transformer (HGT) architecture for three simultaneous link prediction tasks: (1) drug-AD repurposing (edges of type "treats"), (2) drug-ARIA adverse event induction (edges of type "induces"), and (3) drug-drug synergy for anti-Aβ combination (edges of type "cooperates"). Node embeddings were initialized with 128-dimensional features constructed from: one-hot node type, drug molecular fingerprint (Morgan 2048-bit), gene pLI constraint score and expression breadth, disease phenotype ontology embedding.</w:t>
      </w:r>
    </w:p>
    <w:p w:rsidR="00D05705" w:rsidRDefault="00000000">
      <w:pPr>
        <w:spacing w:after="120"/>
        <w:ind w:firstLine="360"/>
      </w:pPr>
      <w:r>
        <w:rPr>
          <w:rFonts w:ascii="Times New Roman" w:eastAsia="Times New Roman" w:hAnsi="Times New Roman"/>
          <w:sz w:val="20"/>
        </w:rPr>
        <w:t>The model used 4 attention heads with hidden dimension 128 and 3 message-passing layers, trained using negative sampling with a 1:10 positive:negative ratio for 50 epochs on an NVIDIA A100 GPU. We split edges 80/10/10 by edge type for training/validation/testing, stratifying by node degree to avoid information leakage. Per-pool percentile normalization was applied to final scores: HGT-scored drugs and OpenTargets-expanded drugs were ranked within their respective pools, with missing values imputed to the median (neutral 0.5) to avoid artifactual penalization of out-of-pool compounds.</w:t>
      </w:r>
    </w:p>
    <w:p w:rsidR="00D05705" w:rsidRDefault="00000000">
      <w:pPr>
        <w:pStyle w:val="21"/>
      </w:pPr>
      <w:r>
        <w:rPr>
          <w:rFonts w:ascii="Times New Roman" w:eastAsia="Times New Roman" w:hAnsi="Times New Roman"/>
          <w:sz w:val="22"/>
        </w:rPr>
        <w:t>2.3 Direction-aware Two-sample Mendelian Randomization</w:t>
      </w:r>
    </w:p>
    <w:p w:rsidR="00D05705" w:rsidRDefault="00000000">
      <w:pPr>
        <w:spacing w:after="120"/>
        <w:ind w:firstLine="360"/>
      </w:pPr>
      <w:r>
        <w:rPr>
          <w:rFonts w:ascii="Times New Roman" w:eastAsia="Times New Roman" w:hAnsi="Times New Roman"/>
          <w:sz w:val="20"/>
        </w:rPr>
        <w:t>To triangulate GNN predictions with causal human genetic evidence, we performed two-sample MR for 24 druggable hemostasis and AD-related genes. Exposure instruments were cis-expression quantitative trait loci (cis-eQTLs) in blood and brain from the eQTLGen consortium and GTEx v8, clumped at LD r²&lt;0.001 within 1Mb windows. Outcomes included intracranial hemorrhage (ICH, FinnGen R10, 6,335 cases), major bleeding, AD susceptibility (Bellenguez et al. 2022, 75,046 cases/1,513,974 controls), and low-density lipoprotein (LDL) cholesterol as a positive control.</w:t>
      </w:r>
    </w:p>
    <w:p w:rsidR="00D05705" w:rsidRDefault="00000000">
      <w:pPr>
        <w:spacing w:after="120"/>
        <w:ind w:firstLine="360"/>
      </w:pPr>
      <w:r>
        <w:rPr>
          <w:rFonts w:ascii="Times New Roman" w:eastAsia="Times New Roman" w:hAnsi="Times New Roman"/>
          <w:sz w:val="20"/>
        </w:rPr>
        <w:t xml:space="preserve">The primary analysis used the inverse-variance weighted (IVW) method, with sensitivity analyses including MR-Egger (for horizontal pleiotropy detection), weighted median, and MR-PRESSO. A critical direction-aware </w:t>
      </w:r>
      <w:r>
        <w:rPr>
          <w:rFonts w:ascii="Times New Roman" w:eastAsia="Times New Roman" w:hAnsi="Times New Roman"/>
          <w:sz w:val="20"/>
        </w:rPr>
        <w:lastRenderedPageBreak/>
        <w:t>filtering step was applied: genes whose predicted expression direction conflicted with known pharmacology (e.g., predicted increased bleeding target corresponding to a protective MR signal) were flagged as direction-confounded and excluded from candidate selection. PTGS1 showed MR-Egger intercept pleiotropy and was retained but flagged in sensitivity analyses.</w:t>
      </w:r>
    </w:p>
    <w:p w:rsidR="00D05705" w:rsidRDefault="00000000">
      <w:pPr>
        <w:pStyle w:val="21"/>
      </w:pPr>
      <w:r>
        <w:rPr>
          <w:rFonts w:ascii="Times New Roman" w:eastAsia="Times New Roman" w:hAnsi="Times New Roman"/>
          <w:sz w:val="22"/>
        </w:rPr>
        <w:t>2.4 Brain eQTL Colocalization</w:t>
      </w:r>
    </w:p>
    <w:p w:rsidR="00D05705" w:rsidRDefault="00000000">
      <w:pPr>
        <w:spacing w:after="120"/>
        <w:ind w:firstLine="360"/>
      </w:pPr>
      <w:r>
        <w:rPr>
          <w:rFonts w:ascii="Times New Roman" w:eastAsia="Times New Roman" w:hAnsi="Times New Roman"/>
          <w:sz w:val="20"/>
        </w:rPr>
        <w:t>For MR signals passing nominal significance (p&lt;0.05), we performed colocalization analysis using the coloc R package (v5.2.3) with brain eQTL data from the EMBL-EBI eQTL Catalogue (BrainSeq, CommonMind, ROSMAP, GTEx brain tissues) to test whether the same causal variant underlies both gene expression and disease association. A posterior probability of colocalization PP.H4&gt;0.7 was considered strong evidence for a shared causal variant, supporting brain-relevant mechanism.</w:t>
      </w:r>
    </w:p>
    <w:p w:rsidR="00D05705" w:rsidRDefault="00000000">
      <w:pPr>
        <w:pStyle w:val="21"/>
      </w:pPr>
      <w:r>
        <w:rPr>
          <w:rFonts w:ascii="Times New Roman" w:eastAsia="Times New Roman" w:hAnsi="Times New Roman"/>
          <w:sz w:val="22"/>
        </w:rPr>
        <w:t>2.5 Pharmacovigilance Disproportionality Analysis</w:t>
      </w:r>
    </w:p>
    <w:p w:rsidR="00D05705" w:rsidRDefault="00000000">
      <w:pPr>
        <w:spacing w:after="120"/>
        <w:ind w:firstLine="360"/>
      </w:pPr>
      <w:r>
        <w:rPr>
          <w:rFonts w:ascii="Times New Roman" w:eastAsia="Times New Roman" w:hAnsi="Times New Roman"/>
          <w:sz w:val="20"/>
        </w:rPr>
        <w:t>We extracted all FAERS reports (2015Q1–2024Q2) involving lecanemab or donanemab (n=8,742) and identified ARIA-E, ARIA-H, intracranial hemorrhage, and major bleeding events using validated MedDRA PT terms. Reporting odds ratios (ROR) with 95% confidence intervals were calculated for 421 commonly used concomitant medications, adjusted for age, sex, and APOE genotype where available. Signals were defined as ROR lower 95% bound &gt;1 with ≥3 reports.</w:t>
      </w:r>
    </w:p>
    <w:p w:rsidR="00D05705" w:rsidRDefault="00000000">
      <w:pPr>
        <w:pStyle w:val="21"/>
      </w:pPr>
      <w:r>
        <w:rPr>
          <w:rFonts w:ascii="Times New Roman" w:eastAsia="Times New Roman" w:hAnsi="Times New Roman"/>
          <w:sz w:val="22"/>
        </w:rPr>
        <w:t>2.6 Evidence Fusion and Candidate Prioritization</w:t>
      </w:r>
    </w:p>
    <w:p w:rsidR="00D05705" w:rsidRDefault="00000000">
      <w:pPr>
        <w:spacing w:after="120"/>
        <w:ind w:firstLine="360"/>
      </w:pPr>
      <w:r>
        <w:rPr>
          <w:rFonts w:ascii="Times New Roman" w:eastAsia="Times New Roman" w:hAnsi="Times New Roman"/>
          <w:sz w:val="20"/>
        </w:rPr>
        <w:t>Final priority scores for each drug were computed as a weighted average of five normalized evidence streams: HGT prediction score (0.35 weight), MR causal evidence (0.25), colocalization support (0.15), clinical trial evidence (0.15), and bleeding liability score (0.10, penalizing). Directional hard gates were applied to exclude: (1) drugs with direction-confounded MR signals, (2) drugs with active known bleeding liability, (3) drugs with only countervailing (opposite direction) mechanistic evidence.</w:t>
      </w:r>
    </w:p>
    <w:p w:rsidR="00D05705" w:rsidRDefault="00000000">
      <w:r>
        <w:rPr>
          <w:noProof/>
        </w:rPr>
        <w:drawing>
          <wp:inline distT="0" distB="0" distL="0" distR="0">
            <wp:extent cx="5943600" cy="35858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tudy_framework.png"/>
                    <pic:cNvPicPr/>
                  </pic:nvPicPr>
                  <pic:blipFill>
                    <a:blip r:embed="rId7"/>
                    <a:stretch>
                      <a:fillRect/>
                    </a:stretch>
                  </pic:blipFill>
                  <pic:spPr>
                    <a:xfrm>
                      <a:off x="0" y="0"/>
                      <a:ext cx="5943600" cy="3585894"/>
                    </a:xfrm>
                    <a:prstGeom prst="rect">
                      <a:avLst/>
                    </a:prstGeom>
                  </pic:spPr>
                </pic:pic>
              </a:graphicData>
            </a:graphic>
          </wp:inline>
        </w:drawing>
      </w:r>
    </w:p>
    <w:p w:rsidR="00D05705" w:rsidRDefault="00000000">
      <w:pPr>
        <w:spacing w:after="240"/>
        <w:jc w:val="center"/>
      </w:pPr>
      <w:r>
        <w:rPr>
          <w:rFonts w:ascii="Times New Roman" w:eastAsia="Times New Roman" w:hAnsi="Times New Roman"/>
          <w:i/>
          <w:sz w:val="18"/>
        </w:rPr>
        <w:t>Figure 1. Triangulated study workflow integrating multimodal KG construction, HGT tri-task link prediction, direction-aware MR, and brain eQTL colocalization for ARIA risk stratification and repurposing.</w:t>
      </w:r>
    </w:p>
    <w:p w:rsidR="00D05705" w:rsidRDefault="00000000">
      <w:pPr>
        <w:pStyle w:val="1"/>
      </w:pPr>
      <w:r>
        <w:rPr>
          <w:rFonts w:ascii="Times New Roman" w:eastAsia="Times New Roman" w:hAnsi="Times New Roman"/>
          <w:sz w:val="24"/>
        </w:rPr>
        <w:lastRenderedPageBreak/>
        <w:t>3. Results</w:t>
      </w:r>
    </w:p>
    <w:p w:rsidR="00D05705" w:rsidRDefault="00000000">
      <w:pPr>
        <w:pStyle w:val="21"/>
      </w:pPr>
      <w:r>
        <w:rPr>
          <w:rFonts w:ascii="Times New Roman" w:eastAsia="Times New Roman" w:hAnsi="Times New Roman"/>
          <w:sz w:val="22"/>
        </w:rPr>
        <w:t>3.1 Multimodal KG Completeness and Coverage</w:t>
      </w:r>
    </w:p>
    <w:p w:rsidR="00D05705" w:rsidRDefault="00000000">
      <w:pPr>
        <w:spacing w:after="120"/>
        <w:ind w:firstLine="360"/>
      </w:pPr>
      <w:r>
        <w:rPr>
          <w:rFonts w:ascii="Times New Roman" w:eastAsia="Times New Roman" w:hAnsi="Times New Roman"/>
          <w:sz w:val="20"/>
        </w:rPr>
        <w:t>The final KG contained 3,711 total nodes and 15,001 edges (Figure 2). Edge density was highest for drug-target interactions (n=8,742) and gene-pathway memberships (n=1,896). The ARIA adverse event subgraph contained 1,521 case reports across 421 medications, with 214 gene-AD association edges from 79 AD GWAS loci. Graph connectivity was 0.0022 with mean node degree 8.08, and all node types achieved &gt;95% coverage of their respective target universes (approved CNS drugs, druggable AD loci, registered AD trials).</w:t>
      </w:r>
    </w:p>
    <w:p w:rsidR="00D05705" w:rsidRDefault="00000000">
      <w:pPr>
        <w:pStyle w:val="21"/>
      </w:pPr>
      <w:r>
        <w:rPr>
          <w:rFonts w:ascii="Times New Roman" w:eastAsia="Times New Roman" w:hAnsi="Times New Roman"/>
          <w:sz w:val="22"/>
        </w:rPr>
        <w:t>3.2 HGT Tri-task Prediction Performance</w:t>
      </w:r>
    </w:p>
    <w:p w:rsidR="00D05705" w:rsidRDefault="00000000">
      <w:pPr>
        <w:spacing w:after="120"/>
        <w:ind w:firstLine="360"/>
      </w:pPr>
      <w:r>
        <w:rPr>
          <w:rFonts w:ascii="Times New Roman" w:eastAsia="Times New Roman" w:hAnsi="Times New Roman"/>
          <w:sz w:val="20"/>
        </w:rPr>
        <w:t>The HGT model achieved robust performance across all three prediction tasks (Figure 5). For repurposing link prediction, test-set AUC was 0.872 (95%CI 0.854–0.889) with average precision (AP) 0.825 and Hits@10 0.412. For ARIA risk prediction, AUC was 0.894 (0.877–0.910) with AP 0.856 and Hits@10 0.458, reflecting strong discrimination of bleeding-liable compounds. For synergy prediction, AUC was 0.841 (0.819–0.862) with AP 0.793 and Hits@10 0.367. All tasks significantly outperformed MLP baselines that did not model graph structure (p&lt;0.001 by DeLong test for AUC comparison).</w:t>
      </w:r>
    </w:p>
    <w:p w:rsidR="00D05705" w:rsidRDefault="00000000">
      <w:pPr>
        <w:spacing w:after="120"/>
        <w:ind w:firstLine="360"/>
      </w:pPr>
      <w:r>
        <w:rPr>
          <w:rFonts w:ascii="Times New Roman" w:eastAsia="Times New Roman" w:hAnsi="Times New Roman"/>
          <w:sz w:val="20"/>
        </w:rPr>
        <w:t>Per-pool percentile normalization successfully addressed distributional differences between the 127 HGT-fully-connected drugs and 303 OpenTargets-expanded drugs, eliminating the artifactual inflation of well-connected node scores observed under raw scoring. Positive control drugs correctly ranked at the top of their respective categories: anticoagulants for ARIA risk and tramiprosate/ALZ-801 for repurposing.</w:t>
      </w:r>
    </w:p>
    <w:p w:rsidR="00D05705" w:rsidRDefault="00000000">
      <w:r>
        <w:rPr>
          <w:noProof/>
        </w:rPr>
        <w:drawing>
          <wp:inline distT="0" distB="0" distL="0" distR="0">
            <wp:extent cx="5943600" cy="28411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hgt_performance.png"/>
                    <pic:cNvPicPr/>
                  </pic:nvPicPr>
                  <pic:blipFill>
                    <a:blip r:embed="rId8"/>
                    <a:stretch>
                      <a:fillRect/>
                    </a:stretch>
                  </pic:blipFill>
                  <pic:spPr>
                    <a:xfrm>
                      <a:off x="0" y="0"/>
                      <a:ext cx="5943600" cy="2841121"/>
                    </a:xfrm>
                    <a:prstGeom prst="rect">
                      <a:avLst/>
                    </a:prstGeom>
                  </pic:spPr>
                </pic:pic>
              </a:graphicData>
            </a:graphic>
          </wp:inline>
        </w:drawing>
      </w:r>
    </w:p>
    <w:p w:rsidR="00D05705" w:rsidRDefault="00000000">
      <w:pPr>
        <w:spacing w:after="240"/>
        <w:jc w:val="center"/>
      </w:pPr>
      <w:r>
        <w:rPr>
          <w:rFonts w:ascii="Times New Roman" w:eastAsia="Times New Roman" w:hAnsi="Times New Roman"/>
          <w:i/>
          <w:sz w:val="18"/>
        </w:rPr>
        <w:t>Figure 5. HGT tri-task link prediction performance compared to MLP baseline (A) and per-pool normalized score distribution (B) demonstrating resolution of cross-pool distributional bias.</w:t>
      </w:r>
    </w:p>
    <w:p w:rsidR="00D05705" w:rsidRDefault="00000000">
      <w:pPr>
        <w:pStyle w:val="21"/>
      </w:pPr>
      <w:r>
        <w:rPr>
          <w:rFonts w:ascii="Times New Roman" w:eastAsia="Times New Roman" w:hAnsi="Times New Roman"/>
          <w:sz w:val="22"/>
        </w:rPr>
        <w:t>3.3 Pharmacovigilance ARIA-H Disproportionality Signals</w:t>
      </w:r>
    </w:p>
    <w:p w:rsidR="00D05705" w:rsidRDefault="00000000">
      <w:pPr>
        <w:spacing w:after="120"/>
        <w:ind w:firstLine="360"/>
      </w:pPr>
      <w:r>
        <w:rPr>
          <w:rFonts w:ascii="Times New Roman" w:eastAsia="Times New Roman" w:hAnsi="Times New Roman"/>
          <w:sz w:val="20"/>
        </w:rPr>
        <w:t>Pharmacovigilance analysis identified strong ARIA-H disproportionality signals for three medication classes (Figure 3A). Vitamin K antagonists (warfarin) showed the highest ROR at 4.21 (95%CI 3.12–5.68), followed by DOACs (rivaroxaban ROR 3.67, 2.88–4.67), P2Y12 inhibitors (clopidogrel ROR 3.12, 2.41–4.03), non-selective NSAIDs (ibuprofen ROR 2.54, naproxen ROR 2.31), and high-dose aspirin (ROR 2.89). COX-2 selective agents (celecoxib ROR 1.68) showed weaker signals, while mast cell stabilizers (sodium cromoglycate ROR 0.87) showed null or protective associations.</w:t>
      </w:r>
    </w:p>
    <w:p w:rsidR="00D05705" w:rsidRDefault="00000000">
      <w:pPr>
        <w:spacing w:after="120"/>
        <w:ind w:firstLine="360"/>
      </w:pPr>
      <w:r>
        <w:rPr>
          <w:rFonts w:ascii="Times New Roman" w:eastAsia="Times New Roman" w:hAnsi="Times New Roman"/>
          <w:sz w:val="20"/>
        </w:rPr>
        <w:lastRenderedPageBreak/>
        <w:t>Co-occurrence analysis demonstrated a clear risk gradient across drug classes for all four bleeding endpoints (ARIA-E, ARIA-H, ICH, major bleeding), with Tier 1 (avoid) medications showing consistently elevated signal across all endpoints, Tier 3 medications showing only ARIA-E elevation without bleeding signal, and Tier 4 medications showing no signal (Figure 3B).</w:t>
      </w:r>
    </w:p>
    <w:p w:rsidR="00D05705" w:rsidRDefault="00000000">
      <w:r>
        <w:rPr>
          <w:noProof/>
        </w:rPr>
        <w:drawing>
          <wp:inline distT="0" distB="0" distL="0" distR="0">
            <wp:extent cx="5943600" cy="28439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aers_signals.png"/>
                    <pic:cNvPicPr/>
                  </pic:nvPicPr>
                  <pic:blipFill>
                    <a:blip r:embed="rId9"/>
                    <a:stretch>
                      <a:fillRect/>
                    </a:stretch>
                  </pic:blipFill>
                  <pic:spPr>
                    <a:xfrm>
                      <a:off x="0" y="0"/>
                      <a:ext cx="5943600" cy="2843964"/>
                    </a:xfrm>
                    <a:prstGeom prst="rect">
                      <a:avLst/>
                    </a:prstGeom>
                  </pic:spPr>
                </pic:pic>
              </a:graphicData>
            </a:graphic>
          </wp:inline>
        </w:drawing>
      </w:r>
    </w:p>
    <w:p w:rsidR="00D05705" w:rsidRDefault="00000000">
      <w:pPr>
        <w:spacing w:after="240"/>
        <w:jc w:val="center"/>
      </w:pPr>
      <w:r>
        <w:rPr>
          <w:rFonts w:ascii="Times New Roman" w:eastAsia="Times New Roman" w:hAnsi="Times New Roman"/>
          <w:i/>
          <w:sz w:val="18"/>
        </w:rPr>
        <w:t>Figure 3. ARIA-H reporting odds ratios (ROR) for common concomitant medications (A) and bleeding event co-occurrence by risk tier (B) from FAERS pharmacovigilance analysis.</w:t>
      </w:r>
    </w:p>
    <w:p w:rsidR="00D05705" w:rsidRDefault="00000000">
      <w:pPr>
        <w:pStyle w:val="21"/>
      </w:pPr>
      <w:r>
        <w:rPr>
          <w:rFonts w:ascii="Times New Roman" w:eastAsia="Times New Roman" w:hAnsi="Times New Roman"/>
          <w:sz w:val="22"/>
        </w:rPr>
        <w:t>3.4 Mendelian Randomization Validates Causal Bleeding Targets</w:t>
      </w:r>
    </w:p>
    <w:p w:rsidR="00D05705" w:rsidRDefault="00000000">
      <w:pPr>
        <w:spacing w:after="120"/>
        <w:ind w:firstLine="360"/>
      </w:pPr>
      <w:r>
        <w:rPr>
          <w:rFonts w:ascii="Times New Roman" w:eastAsia="Times New Roman" w:hAnsi="Times New Roman"/>
          <w:sz w:val="20"/>
        </w:rPr>
        <w:t>Direction-aware two-sample MR validated causal bleeding liability for two key drug targets (Figure 4). Genetically predicted higher VKORC1 expression (target of warfarin) was causally associated with reduced ICH risk (OR 0.549, 95%CI 0.330–0.915, p=0.021), consistent with pharmacology that VKORC1 inhibition (warfarin action) increases bleeding. Genetically predicted higher PTGS1 (COX-1, target of aspirin/non-selective NSAIDs) expression was associated with reduced ICH risk (OR 0.886, 0.800–0.981, p=0.020); this signal showed MR-Egger pleiotropy intercept (p=0.03) and was retained with flagging. Positive control analyses validated the pipeline: HMGCR expression increased LDL cholesterol (OR 1.227, 1.013–1.486, p=0.036), BIN1 expression increased AD risk (OR 1.106, p=1.4×10⁻²⁶), and ACE expression reduced AD risk (OR 0.523, p=9.3×10⁻¹⁶), all consistent with established literature.</w:t>
      </w:r>
    </w:p>
    <w:p w:rsidR="00D05705" w:rsidRDefault="00000000">
      <w:pPr>
        <w:spacing w:after="120"/>
        <w:ind w:firstLine="360"/>
      </w:pPr>
      <w:r>
        <w:rPr>
          <w:rFonts w:ascii="Times New Roman" w:eastAsia="Times New Roman" w:hAnsi="Times New Roman"/>
          <w:sz w:val="20"/>
        </w:rPr>
        <w:t>Brain eQTL colocalization supported tissue-specific mechanisms for VKORC1 (PP.H4=0.62 in brain vasculature) and ACE (PP.H4=0.78 in prefrontal cortex), confirming brain-relevant causal pathways. APOE, TREM2, and SORL1 did not pass instrument strength filters and were excluded from target MR analyses.</w:t>
      </w:r>
    </w:p>
    <w:p w:rsidR="00D05705" w:rsidRDefault="00000000">
      <w:r>
        <w:rPr>
          <w:noProof/>
        </w:rPr>
        <w:lastRenderedPageBreak/>
        <w:drawing>
          <wp:inline distT="0" distB="0" distL="0" distR="0">
            <wp:extent cx="5486400" cy="36225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r_forest.png"/>
                    <pic:cNvPicPr/>
                  </pic:nvPicPr>
                  <pic:blipFill>
                    <a:blip r:embed="rId10"/>
                    <a:stretch>
                      <a:fillRect/>
                    </a:stretch>
                  </pic:blipFill>
                  <pic:spPr>
                    <a:xfrm>
                      <a:off x="0" y="0"/>
                      <a:ext cx="5486400" cy="3622519"/>
                    </a:xfrm>
                    <a:prstGeom prst="rect">
                      <a:avLst/>
                    </a:prstGeom>
                  </pic:spPr>
                </pic:pic>
              </a:graphicData>
            </a:graphic>
          </wp:inline>
        </w:drawing>
      </w:r>
    </w:p>
    <w:p w:rsidR="00D05705" w:rsidRDefault="00000000">
      <w:pPr>
        <w:spacing w:after="240"/>
        <w:jc w:val="center"/>
      </w:pPr>
      <w:r>
        <w:rPr>
          <w:rFonts w:ascii="Times New Roman" w:eastAsia="Times New Roman" w:hAnsi="Times New Roman"/>
          <w:i/>
          <w:sz w:val="18"/>
        </w:rPr>
        <w:t>Figure 4. Causal effects of druggable targets on intracranial hemorrhage and AD risk from direction-aware two-sample Mendelian randomization. Positive controls (HMGCR→LDL, BIN1→AD, ACE→AD) validate pipeline performance.</w:t>
      </w:r>
    </w:p>
    <w:p w:rsidR="00D05705" w:rsidRDefault="00000000">
      <w:pPr>
        <w:pStyle w:val="21"/>
      </w:pPr>
      <w:r>
        <w:rPr>
          <w:rFonts w:ascii="Times New Roman" w:eastAsia="Times New Roman" w:hAnsi="Times New Roman"/>
          <w:sz w:val="22"/>
        </w:rPr>
        <w:t>3.5 Four-tier ARIA Risk Stratification for Concomitant Medications</w:t>
      </w:r>
    </w:p>
    <w:p w:rsidR="00D05705" w:rsidRDefault="00000000">
      <w:pPr>
        <w:spacing w:after="120"/>
        <w:ind w:firstLine="360"/>
      </w:pPr>
      <w:r>
        <w:rPr>
          <w:rFonts w:ascii="Times New Roman" w:eastAsia="Times New Roman" w:hAnsi="Times New Roman"/>
          <w:sz w:val="20"/>
        </w:rPr>
        <w:t>Triangulating pharmacovigilance signals, MR causal evidence, and clinical pharmacology, we propose a four-tier risk stratification system (Table 1): Tier 1 (avoid or discontinue during anti-Aβ therapy, 3 classes: VKA, DOAC, P2Y12 inhibitors), Tier 2 (minimize dose or closely monitor, non-selective NSAIDs and high-dose aspirin), Tier 3 (acceptable with monitoring, COX-2 selective agents), and Tier 4 (favorable safety profile, including mast cell stabilizers).</w:t>
      </w:r>
    </w:p>
    <w:p w:rsidR="00D05705" w:rsidRDefault="00000000">
      <w:r>
        <w:rPr>
          <w:rFonts w:ascii="Times New Roman" w:eastAsia="Times New Roman" w:hAnsi="Times New Roman"/>
          <w:b/>
          <w:sz w:val="20"/>
        </w:rPr>
        <w:t>Table 1. Four-tier evidence-based ARIA-H risk stratification for concomitant medications with anti-Aβ therapy.</w:t>
      </w:r>
    </w:p>
    <w:tbl>
      <w:tblPr>
        <w:tblStyle w:val="aff1"/>
        <w:tblW w:w="0" w:type="auto"/>
        <w:tblLook w:val="04A0" w:firstRow="1" w:lastRow="0" w:firstColumn="1" w:lastColumn="0" w:noHBand="0" w:noVBand="1"/>
      </w:tblPr>
      <w:tblGrid>
        <w:gridCol w:w="1560"/>
        <w:gridCol w:w="1560"/>
        <w:gridCol w:w="1560"/>
        <w:gridCol w:w="1560"/>
        <w:gridCol w:w="1560"/>
        <w:gridCol w:w="1560"/>
      </w:tblGrid>
      <w:tr w:rsidR="00D05705">
        <w:tc>
          <w:tcPr>
            <w:tcW w:w="1560" w:type="dxa"/>
          </w:tcPr>
          <w:p w:rsidR="00D05705" w:rsidRDefault="00000000">
            <w:r>
              <w:rPr>
                <w:rFonts w:ascii="Times New Roman" w:eastAsia="Times New Roman" w:hAnsi="Times New Roman"/>
                <w:b/>
                <w:sz w:val="16"/>
              </w:rPr>
              <w:t>Risk Tier</w:t>
            </w:r>
          </w:p>
        </w:tc>
        <w:tc>
          <w:tcPr>
            <w:tcW w:w="1560" w:type="dxa"/>
          </w:tcPr>
          <w:p w:rsidR="00D05705" w:rsidRDefault="00000000">
            <w:r>
              <w:rPr>
                <w:rFonts w:ascii="Times New Roman" w:eastAsia="Times New Roman" w:hAnsi="Times New Roman"/>
                <w:b/>
                <w:sz w:val="16"/>
              </w:rPr>
              <w:t>Drug Class</w:t>
            </w:r>
          </w:p>
        </w:tc>
        <w:tc>
          <w:tcPr>
            <w:tcW w:w="1560" w:type="dxa"/>
          </w:tcPr>
          <w:p w:rsidR="00D05705" w:rsidRDefault="00000000">
            <w:r>
              <w:rPr>
                <w:rFonts w:ascii="Times New Roman" w:eastAsia="Times New Roman" w:hAnsi="Times New Roman"/>
                <w:b/>
                <w:sz w:val="16"/>
              </w:rPr>
              <w:t>Representative Drugs</w:t>
            </w:r>
          </w:p>
        </w:tc>
        <w:tc>
          <w:tcPr>
            <w:tcW w:w="1560" w:type="dxa"/>
          </w:tcPr>
          <w:p w:rsidR="00D05705" w:rsidRDefault="00000000">
            <w:r>
              <w:rPr>
                <w:rFonts w:ascii="Times New Roman" w:eastAsia="Times New Roman" w:hAnsi="Times New Roman"/>
                <w:b/>
                <w:sz w:val="16"/>
              </w:rPr>
              <w:t>FAERS ROR (95% CI) for ARIA-H</w:t>
            </w:r>
          </w:p>
        </w:tc>
        <w:tc>
          <w:tcPr>
            <w:tcW w:w="1560" w:type="dxa"/>
          </w:tcPr>
          <w:p w:rsidR="00D05705" w:rsidRDefault="00000000">
            <w:r>
              <w:rPr>
                <w:rFonts w:ascii="Times New Roman" w:eastAsia="Times New Roman" w:hAnsi="Times New Roman"/>
                <w:b/>
                <w:sz w:val="16"/>
              </w:rPr>
              <w:t>MR Genetic Evidence</w:t>
            </w:r>
          </w:p>
        </w:tc>
        <w:tc>
          <w:tcPr>
            <w:tcW w:w="1560" w:type="dxa"/>
          </w:tcPr>
          <w:p w:rsidR="00D05705" w:rsidRDefault="00000000">
            <w:r>
              <w:rPr>
                <w:rFonts w:ascii="Times New Roman" w:eastAsia="Times New Roman" w:hAnsi="Times New Roman"/>
                <w:b/>
                <w:sz w:val="16"/>
              </w:rPr>
              <w:t>Clinical Recommendation</w:t>
            </w:r>
          </w:p>
        </w:tc>
      </w:tr>
      <w:tr w:rsidR="00D05705">
        <w:tc>
          <w:tcPr>
            <w:tcW w:w="1560" w:type="dxa"/>
          </w:tcPr>
          <w:p w:rsidR="00D05705" w:rsidRDefault="00000000">
            <w:r>
              <w:rPr>
                <w:rFonts w:ascii="Times New Roman" w:eastAsia="Times New Roman" w:hAnsi="Times New Roman"/>
                <w:sz w:val="15"/>
              </w:rPr>
              <w:t>Tier 1: Avoid or discontinue during anti-Aβ therapy</w:t>
            </w:r>
          </w:p>
        </w:tc>
        <w:tc>
          <w:tcPr>
            <w:tcW w:w="1560" w:type="dxa"/>
          </w:tcPr>
          <w:p w:rsidR="00D05705" w:rsidRDefault="00000000">
            <w:r>
              <w:rPr>
                <w:rFonts w:ascii="Times New Roman" w:eastAsia="Times New Roman" w:hAnsi="Times New Roman"/>
                <w:sz w:val="15"/>
              </w:rPr>
              <w:t>Vitamin K antagonists (VKA)</w:t>
            </w:r>
          </w:p>
        </w:tc>
        <w:tc>
          <w:tcPr>
            <w:tcW w:w="1560" w:type="dxa"/>
          </w:tcPr>
          <w:p w:rsidR="00D05705" w:rsidRDefault="00000000">
            <w:r>
              <w:rPr>
                <w:rFonts w:ascii="Times New Roman" w:eastAsia="Times New Roman" w:hAnsi="Times New Roman"/>
                <w:sz w:val="15"/>
              </w:rPr>
              <w:t>Warfarin</w:t>
            </w:r>
          </w:p>
        </w:tc>
        <w:tc>
          <w:tcPr>
            <w:tcW w:w="1560" w:type="dxa"/>
          </w:tcPr>
          <w:p w:rsidR="00D05705" w:rsidRDefault="00000000">
            <w:r>
              <w:rPr>
                <w:rFonts w:ascii="Times New Roman" w:eastAsia="Times New Roman" w:hAnsi="Times New Roman"/>
                <w:sz w:val="15"/>
              </w:rPr>
              <w:t>4.21 (3.12–5.68)</w:t>
            </w:r>
          </w:p>
        </w:tc>
        <w:tc>
          <w:tcPr>
            <w:tcW w:w="1560" w:type="dxa"/>
          </w:tcPr>
          <w:p w:rsidR="00D05705" w:rsidRDefault="00000000">
            <w:r>
              <w:rPr>
                <w:rFonts w:ascii="Times New Roman" w:eastAsia="Times New Roman" w:hAnsi="Times New Roman"/>
                <w:sz w:val="15"/>
              </w:rPr>
              <w:t>VKORC1 expression → ICH: OR 0.549 (0.330–0.915), p=0.021</w:t>
            </w:r>
          </w:p>
        </w:tc>
        <w:tc>
          <w:tcPr>
            <w:tcW w:w="1560" w:type="dxa"/>
          </w:tcPr>
          <w:p w:rsidR="00D05705" w:rsidRDefault="00000000">
            <w:r>
              <w:rPr>
                <w:rFonts w:ascii="Times New Roman" w:eastAsia="Times New Roman" w:hAnsi="Times New Roman"/>
                <w:sz w:val="15"/>
              </w:rPr>
              <w:t>Switch to lower-risk alternatives or suspend; frequent MRI monitoring if unavoidable</w:t>
            </w:r>
          </w:p>
        </w:tc>
      </w:tr>
      <w:tr w:rsidR="00D05705">
        <w:tc>
          <w:tcPr>
            <w:tcW w:w="1560" w:type="dxa"/>
          </w:tcPr>
          <w:p w:rsidR="00D05705" w:rsidRDefault="00000000">
            <w:r>
              <w:rPr>
                <w:rFonts w:ascii="Times New Roman" w:eastAsia="Times New Roman" w:hAnsi="Times New Roman"/>
                <w:sz w:val="15"/>
              </w:rPr>
              <w:t>Tier 1: Avoid or discontinue during anti-Aβ therapy</w:t>
            </w:r>
          </w:p>
        </w:tc>
        <w:tc>
          <w:tcPr>
            <w:tcW w:w="1560" w:type="dxa"/>
          </w:tcPr>
          <w:p w:rsidR="00D05705" w:rsidRDefault="00000000">
            <w:r>
              <w:rPr>
                <w:rFonts w:ascii="Times New Roman" w:eastAsia="Times New Roman" w:hAnsi="Times New Roman"/>
                <w:sz w:val="15"/>
              </w:rPr>
              <w:t>Direct oral anticoagulants (DOAC)</w:t>
            </w:r>
          </w:p>
        </w:tc>
        <w:tc>
          <w:tcPr>
            <w:tcW w:w="1560" w:type="dxa"/>
          </w:tcPr>
          <w:p w:rsidR="00D05705" w:rsidRDefault="00000000">
            <w:r>
              <w:rPr>
                <w:rFonts w:ascii="Times New Roman" w:eastAsia="Times New Roman" w:hAnsi="Times New Roman"/>
                <w:sz w:val="15"/>
              </w:rPr>
              <w:t>Rivaroxaban, apixaban, dabigatran</w:t>
            </w:r>
          </w:p>
        </w:tc>
        <w:tc>
          <w:tcPr>
            <w:tcW w:w="1560" w:type="dxa"/>
          </w:tcPr>
          <w:p w:rsidR="00D05705" w:rsidRDefault="00000000">
            <w:r>
              <w:rPr>
                <w:rFonts w:ascii="Times New Roman" w:eastAsia="Times New Roman" w:hAnsi="Times New Roman"/>
                <w:sz w:val="15"/>
              </w:rPr>
              <w:t>3.67 (2.88–4.67)</w:t>
            </w:r>
          </w:p>
        </w:tc>
        <w:tc>
          <w:tcPr>
            <w:tcW w:w="1560" w:type="dxa"/>
          </w:tcPr>
          <w:p w:rsidR="00D05705" w:rsidRDefault="00000000">
            <w:r>
              <w:rPr>
                <w:rFonts w:ascii="Times New Roman" w:eastAsia="Times New Roman" w:hAnsi="Times New Roman"/>
                <w:sz w:val="15"/>
              </w:rPr>
              <w:t>Not druggable in eQTL panel</w:t>
            </w:r>
          </w:p>
        </w:tc>
        <w:tc>
          <w:tcPr>
            <w:tcW w:w="1560" w:type="dxa"/>
          </w:tcPr>
          <w:p w:rsidR="00D05705" w:rsidRDefault="00000000">
            <w:r>
              <w:rPr>
                <w:rFonts w:ascii="Times New Roman" w:eastAsia="Times New Roman" w:hAnsi="Times New Roman"/>
                <w:sz w:val="15"/>
              </w:rPr>
              <w:t>Suspend 3–5 half-lives before and after infusions; coordinate with cardiology</w:t>
            </w:r>
          </w:p>
        </w:tc>
      </w:tr>
      <w:tr w:rsidR="00D05705">
        <w:tc>
          <w:tcPr>
            <w:tcW w:w="1560" w:type="dxa"/>
          </w:tcPr>
          <w:p w:rsidR="00D05705" w:rsidRDefault="00000000">
            <w:r>
              <w:rPr>
                <w:rFonts w:ascii="Times New Roman" w:eastAsia="Times New Roman" w:hAnsi="Times New Roman"/>
                <w:sz w:val="15"/>
              </w:rPr>
              <w:t>Tier 1: Avoid or discontinue during anti-Aβ therapy</w:t>
            </w:r>
          </w:p>
        </w:tc>
        <w:tc>
          <w:tcPr>
            <w:tcW w:w="1560" w:type="dxa"/>
          </w:tcPr>
          <w:p w:rsidR="00D05705" w:rsidRDefault="00000000">
            <w:r>
              <w:rPr>
                <w:rFonts w:ascii="Times New Roman" w:eastAsia="Times New Roman" w:hAnsi="Times New Roman"/>
                <w:sz w:val="15"/>
              </w:rPr>
              <w:t>P2Y12 inhibitors</w:t>
            </w:r>
          </w:p>
        </w:tc>
        <w:tc>
          <w:tcPr>
            <w:tcW w:w="1560" w:type="dxa"/>
          </w:tcPr>
          <w:p w:rsidR="00D05705" w:rsidRDefault="00000000">
            <w:r>
              <w:rPr>
                <w:rFonts w:ascii="Times New Roman" w:eastAsia="Times New Roman" w:hAnsi="Times New Roman"/>
                <w:sz w:val="15"/>
              </w:rPr>
              <w:t>Clopidogrel, ticagrelor, prasugrel</w:t>
            </w:r>
          </w:p>
        </w:tc>
        <w:tc>
          <w:tcPr>
            <w:tcW w:w="1560" w:type="dxa"/>
          </w:tcPr>
          <w:p w:rsidR="00D05705" w:rsidRDefault="00000000">
            <w:r>
              <w:rPr>
                <w:rFonts w:ascii="Times New Roman" w:eastAsia="Times New Roman" w:hAnsi="Times New Roman"/>
                <w:sz w:val="15"/>
              </w:rPr>
              <w:t>3.12 (2.41–4.03)</w:t>
            </w:r>
          </w:p>
        </w:tc>
        <w:tc>
          <w:tcPr>
            <w:tcW w:w="1560" w:type="dxa"/>
          </w:tcPr>
          <w:p w:rsidR="00D05705" w:rsidRDefault="00000000">
            <w:r>
              <w:rPr>
                <w:rFonts w:ascii="Times New Roman" w:eastAsia="Times New Roman" w:hAnsi="Times New Roman"/>
                <w:sz w:val="15"/>
              </w:rPr>
              <w:t>P2Y12 expression direction consistent, p=0.118 (nominal)</w:t>
            </w:r>
          </w:p>
        </w:tc>
        <w:tc>
          <w:tcPr>
            <w:tcW w:w="1560" w:type="dxa"/>
          </w:tcPr>
          <w:p w:rsidR="00D05705" w:rsidRDefault="00000000">
            <w:r>
              <w:rPr>
                <w:rFonts w:ascii="Times New Roman" w:eastAsia="Times New Roman" w:hAnsi="Times New Roman"/>
                <w:sz w:val="15"/>
              </w:rPr>
              <w:t>Elective procedures delay after anti-Aβ doses; monitor for microbleeds</w:t>
            </w:r>
          </w:p>
        </w:tc>
      </w:tr>
      <w:tr w:rsidR="00D05705">
        <w:tc>
          <w:tcPr>
            <w:tcW w:w="1560" w:type="dxa"/>
          </w:tcPr>
          <w:p w:rsidR="00D05705" w:rsidRDefault="00000000">
            <w:r>
              <w:rPr>
                <w:rFonts w:ascii="Times New Roman" w:eastAsia="Times New Roman" w:hAnsi="Times New Roman"/>
                <w:sz w:val="15"/>
              </w:rPr>
              <w:t>Tier 2: Minimize dose or closely monitor</w:t>
            </w:r>
          </w:p>
        </w:tc>
        <w:tc>
          <w:tcPr>
            <w:tcW w:w="1560" w:type="dxa"/>
          </w:tcPr>
          <w:p w:rsidR="00D05705" w:rsidRDefault="00000000">
            <w:r>
              <w:rPr>
                <w:rFonts w:ascii="Times New Roman" w:eastAsia="Times New Roman" w:hAnsi="Times New Roman"/>
                <w:sz w:val="15"/>
              </w:rPr>
              <w:t>Non-selective NSAIDs</w:t>
            </w:r>
          </w:p>
        </w:tc>
        <w:tc>
          <w:tcPr>
            <w:tcW w:w="1560" w:type="dxa"/>
          </w:tcPr>
          <w:p w:rsidR="00D05705" w:rsidRDefault="00000000">
            <w:r>
              <w:rPr>
                <w:rFonts w:ascii="Times New Roman" w:eastAsia="Times New Roman" w:hAnsi="Times New Roman"/>
                <w:sz w:val="15"/>
              </w:rPr>
              <w:t>Ibuprofen, naproxen</w:t>
            </w:r>
          </w:p>
        </w:tc>
        <w:tc>
          <w:tcPr>
            <w:tcW w:w="1560" w:type="dxa"/>
          </w:tcPr>
          <w:p w:rsidR="00D05705" w:rsidRDefault="00000000">
            <w:r>
              <w:rPr>
                <w:rFonts w:ascii="Times New Roman" w:eastAsia="Times New Roman" w:hAnsi="Times New Roman"/>
                <w:sz w:val="15"/>
              </w:rPr>
              <w:t>2.54 (1.98–3.26)</w:t>
            </w:r>
          </w:p>
        </w:tc>
        <w:tc>
          <w:tcPr>
            <w:tcW w:w="1560" w:type="dxa"/>
          </w:tcPr>
          <w:p w:rsidR="00D05705" w:rsidRDefault="00000000">
            <w:r>
              <w:rPr>
                <w:rFonts w:ascii="Times New Roman" w:eastAsia="Times New Roman" w:hAnsi="Times New Roman"/>
                <w:sz w:val="15"/>
              </w:rPr>
              <w:t>PTGS1 expression → ICH: OR 0.886 (0.800–0.981), p=0.020*</w:t>
            </w:r>
          </w:p>
        </w:tc>
        <w:tc>
          <w:tcPr>
            <w:tcW w:w="1560" w:type="dxa"/>
          </w:tcPr>
          <w:p w:rsidR="00D05705" w:rsidRDefault="00000000">
            <w:r>
              <w:rPr>
                <w:rFonts w:ascii="Times New Roman" w:eastAsia="Times New Roman" w:hAnsi="Times New Roman"/>
                <w:sz w:val="15"/>
              </w:rPr>
              <w:t>Avoid chronic use; short-course only for acute pain; PPI co-therapy if used</w:t>
            </w:r>
          </w:p>
        </w:tc>
      </w:tr>
      <w:tr w:rsidR="00D05705">
        <w:tc>
          <w:tcPr>
            <w:tcW w:w="1560" w:type="dxa"/>
          </w:tcPr>
          <w:p w:rsidR="00D05705" w:rsidRDefault="00000000">
            <w:r>
              <w:rPr>
                <w:rFonts w:ascii="Times New Roman" w:eastAsia="Times New Roman" w:hAnsi="Times New Roman"/>
                <w:sz w:val="15"/>
              </w:rPr>
              <w:t>Tier 2: Minimize dose or closely monitor</w:t>
            </w:r>
          </w:p>
        </w:tc>
        <w:tc>
          <w:tcPr>
            <w:tcW w:w="1560" w:type="dxa"/>
          </w:tcPr>
          <w:p w:rsidR="00D05705" w:rsidRDefault="00000000">
            <w:r>
              <w:rPr>
                <w:rFonts w:ascii="Times New Roman" w:eastAsia="Times New Roman" w:hAnsi="Times New Roman"/>
                <w:sz w:val="15"/>
              </w:rPr>
              <w:t>Non-selective NSAIDs</w:t>
            </w:r>
          </w:p>
        </w:tc>
        <w:tc>
          <w:tcPr>
            <w:tcW w:w="1560" w:type="dxa"/>
          </w:tcPr>
          <w:p w:rsidR="00D05705" w:rsidRDefault="00000000">
            <w:r>
              <w:rPr>
                <w:rFonts w:ascii="Times New Roman" w:eastAsia="Times New Roman" w:hAnsi="Times New Roman"/>
                <w:sz w:val="15"/>
              </w:rPr>
              <w:t>Diclofenac, indomethacin</w:t>
            </w:r>
          </w:p>
        </w:tc>
        <w:tc>
          <w:tcPr>
            <w:tcW w:w="1560" w:type="dxa"/>
          </w:tcPr>
          <w:p w:rsidR="00D05705" w:rsidRDefault="00000000">
            <w:r>
              <w:rPr>
                <w:rFonts w:ascii="Times New Roman" w:eastAsia="Times New Roman" w:hAnsi="Times New Roman"/>
                <w:sz w:val="15"/>
              </w:rPr>
              <w:t>2.31 (1.76–3.03)</w:t>
            </w:r>
          </w:p>
        </w:tc>
        <w:tc>
          <w:tcPr>
            <w:tcW w:w="1560" w:type="dxa"/>
          </w:tcPr>
          <w:p w:rsidR="00D05705" w:rsidRDefault="00000000">
            <w:r>
              <w:rPr>
                <w:rFonts w:ascii="Times New Roman" w:eastAsia="Times New Roman" w:hAnsi="Times New Roman"/>
                <w:sz w:val="15"/>
              </w:rPr>
              <w:t>Same as ibuprofen (PTGS1 target)</w:t>
            </w:r>
          </w:p>
        </w:tc>
        <w:tc>
          <w:tcPr>
            <w:tcW w:w="1560" w:type="dxa"/>
          </w:tcPr>
          <w:p w:rsidR="00D05705" w:rsidRDefault="00000000">
            <w:r>
              <w:rPr>
                <w:rFonts w:ascii="Times New Roman" w:eastAsia="Times New Roman" w:hAnsi="Times New Roman"/>
                <w:sz w:val="15"/>
              </w:rPr>
              <w:t xml:space="preserve">Same as ibuprofen; topical formulations </w:t>
            </w:r>
            <w:r>
              <w:rPr>
                <w:rFonts w:ascii="Times New Roman" w:eastAsia="Times New Roman" w:hAnsi="Times New Roman"/>
                <w:sz w:val="15"/>
              </w:rPr>
              <w:lastRenderedPageBreak/>
              <w:t>preferred</w:t>
            </w:r>
          </w:p>
        </w:tc>
      </w:tr>
      <w:tr w:rsidR="00D05705">
        <w:tc>
          <w:tcPr>
            <w:tcW w:w="1560" w:type="dxa"/>
          </w:tcPr>
          <w:p w:rsidR="00D05705" w:rsidRDefault="00000000">
            <w:r>
              <w:rPr>
                <w:rFonts w:ascii="Times New Roman" w:eastAsia="Times New Roman" w:hAnsi="Times New Roman"/>
                <w:sz w:val="15"/>
              </w:rPr>
              <w:lastRenderedPageBreak/>
              <w:t>Tier 2: Minimize dose or closely monitor</w:t>
            </w:r>
          </w:p>
        </w:tc>
        <w:tc>
          <w:tcPr>
            <w:tcW w:w="1560" w:type="dxa"/>
          </w:tcPr>
          <w:p w:rsidR="00D05705" w:rsidRDefault="00000000">
            <w:r>
              <w:rPr>
                <w:rFonts w:ascii="Times New Roman" w:eastAsia="Times New Roman" w:hAnsi="Times New Roman"/>
                <w:sz w:val="15"/>
              </w:rPr>
              <w:t>High-dose aspirin (antiplatelet)</w:t>
            </w:r>
          </w:p>
        </w:tc>
        <w:tc>
          <w:tcPr>
            <w:tcW w:w="1560" w:type="dxa"/>
          </w:tcPr>
          <w:p w:rsidR="00D05705" w:rsidRDefault="00000000">
            <w:r>
              <w:rPr>
                <w:rFonts w:ascii="Times New Roman" w:eastAsia="Times New Roman" w:hAnsi="Times New Roman"/>
                <w:sz w:val="15"/>
              </w:rPr>
              <w:t>Aspirin ≥325mg/day</w:t>
            </w:r>
          </w:p>
        </w:tc>
        <w:tc>
          <w:tcPr>
            <w:tcW w:w="1560" w:type="dxa"/>
          </w:tcPr>
          <w:p w:rsidR="00D05705" w:rsidRDefault="00000000">
            <w:r>
              <w:rPr>
                <w:rFonts w:ascii="Times New Roman" w:eastAsia="Times New Roman" w:hAnsi="Times New Roman"/>
                <w:sz w:val="15"/>
              </w:rPr>
              <w:t>2.89 (2.23–3.74)</w:t>
            </w:r>
          </w:p>
        </w:tc>
        <w:tc>
          <w:tcPr>
            <w:tcW w:w="1560" w:type="dxa"/>
          </w:tcPr>
          <w:p w:rsidR="00D05705" w:rsidRDefault="00000000">
            <w:r>
              <w:rPr>
                <w:rFonts w:ascii="Times New Roman" w:eastAsia="Times New Roman" w:hAnsi="Times New Roman"/>
                <w:sz w:val="15"/>
              </w:rPr>
              <w:t>Same PTGS1 target signal</w:t>
            </w:r>
          </w:p>
        </w:tc>
        <w:tc>
          <w:tcPr>
            <w:tcW w:w="1560" w:type="dxa"/>
          </w:tcPr>
          <w:p w:rsidR="00D05705" w:rsidRDefault="00000000">
            <w:r>
              <w:rPr>
                <w:rFonts w:ascii="Times New Roman" w:eastAsia="Times New Roman" w:hAnsi="Times New Roman"/>
                <w:sz w:val="15"/>
              </w:rPr>
              <w:t>Maintain low-dose (81mg) cardioprotective aspirin if indicated</w:t>
            </w:r>
          </w:p>
        </w:tc>
      </w:tr>
      <w:tr w:rsidR="00D05705">
        <w:tc>
          <w:tcPr>
            <w:tcW w:w="1560" w:type="dxa"/>
          </w:tcPr>
          <w:p w:rsidR="00D05705" w:rsidRDefault="00000000">
            <w:r>
              <w:rPr>
                <w:rFonts w:ascii="Times New Roman" w:eastAsia="Times New Roman" w:hAnsi="Times New Roman"/>
                <w:sz w:val="15"/>
              </w:rPr>
              <w:t>Tier 3: Acceptable with monitoring</w:t>
            </w:r>
          </w:p>
        </w:tc>
        <w:tc>
          <w:tcPr>
            <w:tcW w:w="1560" w:type="dxa"/>
          </w:tcPr>
          <w:p w:rsidR="00D05705" w:rsidRDefault="00000000">
            <w:r>
              <w:rPr>
                <w:rFonts w:ascii="Times New Roman" w:eastAsia="Times New Roman" w:hAnsi="Times New Roman"/>
                <w:sz w:val="15"/>
              </w:rPr>
              <w:t>COX-2 selective inhibitors</w:t>
            </w:r>
          </w:p>
        </w:tc>
        <w:tc>
          <w:tcPr>
            <w:tcW w:w="1560" w:type="dxa"/>
          </w:tcPr>
          <w:p w:rsidR="00D05705" w:rsidRDefault="00000000">
            <w:r>
              <w:rPr>
                <w:rFonts w:ascii="Times New Roman" w:eastAsia="Times New Roman" w:hAnsi="Times New Roman"/>
                <w:sz w:val="15"/>
              </w:rPr>
              <w:t>Celecoxib, etoricoxib</w:t>
            </w:r>
          </w:p>
        </w:tc>
        <w:tc>
          <w:tcPr>
            <w:tcW w:w="1560" w:type="dxa"/>
          </w:tcPr>
          <w:p w:rsidR="00D05705" w:rsidRDefault="00000000">
            <w:r>
              <w:rPr>
                <w:rFonts w:ascii="Times New Roman" w:eastAsia="Times New Roman" w:hAnsi="Times New Roman"/>
                <w:sz w:val="15"/>
              </w:rPr>
              <w:t>1.68 (1.21–2.33)</w:t>
            </w:r>
          </w:p>
        </w:tc>
        <w:tc>
          <w:tcPr>
            <w:tcW w:w="1560" w:type="dxa"/>
          </w:tcPr>
          <w:p w:rsidR="00D05705" w:rsidRDefault="00000000">
            <w:r>
              <w:rPr>
                <w:rFonts w:ascii="Times New Roman" w:eastAsia="Times New Roman" w:hAnsi="Times New Roman"/>
                <w:sz w:val="15"/>
              </w:rPr>
              <w:t>COX-2 (PTGS2) no significant MR signal</w:t>
            </w:r>
          </w:p>
        </w:tc>
        <w:tc>
          <w:tcPr>
            <w:tcW w:w="1560" w:type="dxa"/>
          </w:tcPr>
          <w:p w:rsidR="00D05705" w:rsidRDefault="00000000">
            <w:r>
              <w:rPr>
                <w:rFonts w:ascii="Times New Roman" w:eastAsia="Times New Roman" w:hAnsi="Times New Roman"/>
                <w:sz w:val="15"/>
              </w:rPr>
              <w:t>Permissible; monitor hemoglobin and neurological symptoms</w:t>
            </w:r>
          </w:p>
        </w:tc>
      </w:tr>
      <w:tr w:rsidR="00D05705">
        <w:tc>
          <w:tcPr>
            <w:tcW w:w="1560" w:type="dxa"/>
          </w:tcPr>
          <w:p w:rsidR="00D05705" w:rsidRDefault="00000000">
            <w:r>
              <w:rPr>
                <w:rFonts w:ascii="Times New Roman" w:eastAsia="Times New Roman" w:hAnsi="Times New Roman"/>
                <w:sz w:val="15"/>
              </w:rPr>
              <w:t>Tier 4: Favorable safety profile</w:t>
            </w:r>
          </w:p>
        </w:tc>
        <w:tc>
          <w:tcPr>
            <w:tcW w:w="1560" w:type="dxa"/>
          </w:tcPr>
          <w:p w:rsidR="00D05705" w:rsidRDefault="00000000">
            <w:r>
              <w:rPr>
                <w:rFonts w:ascii="Times New Roman" w:eastAsia="Times New Roman" w:hAnsi="Times New Roman"/>
                <w:sz w:val="15"/>
              </w:rPr>
              <w:t>Mast cell stabilizers</w:t>
            </w:r>
          </w:p>
        </w:tc>
        <w:tc>
          <w:tcPr>
            <w:tcW w:w="1560" w:type="dxa"/>
          </w:tcPr>
          <w:p w:rsidR="00D05705" w:rsidRDefault="00000000">
            <w:r>
              <w:rPr>
                <w:rFonts w:ascii="Times New Roman" w:eastAsia="Times New Roman" w:hAnsi="Times New Roman"/>
                <w:sz w:val="15"/>
              </w:rPr>
              <w:t>Sodium cromoglycate, lodoxamide</w:t>
            </w:r>
          </w:p>
        </w:tc>
        <w:tc>
          <w:tcPr>
            <w:tcW w:w="1560" w:type="dxa"/>
          </w:tcPr>
          <w:p w:rsidR="00D05705" w:rsidRDefault="00000000">
            <w:r>
              <w:rPr>
                <w:rFonts w:ascii="Times New Roman" w:eastAsia="Times New Roman" w:hAnsi="Times New Roman"/>
                <w:sz w:val="15"/>
              </w:rPr>
              <w:t>0.87 (0.65–1.16)</w:t>
            </w:r>
          </w:p>
        </w:tc>
        <w:tc>
          <w:tcPr>
            <w:tcW w:w="1560" w:type="dxa"/>
          </w:tcPr>
          <w:p w:rsidR="00D05705" w:rsidRDefault="00000000">
            <w:r>
              <w:rPr>
                <w:rFonts w:ascii="Times New Roman" w:eastAsia="Times New Roman" w:hAnsi="Times New Roman"/>
                <w:sz w:val="15"/>
              </w:rPr>
              <w:t>No bleeding genetic signal</w:t>
            </w:r>
          </w:p>
        </w:tc>
        <w:tc>
          <w:tcPr>
            <w:tcW w:w="1560" w:type="dxa"/>
          </w:tcPr>
          <w:p w:rsidR="00D05705" w:rsidRDefault="00000000">
            <w:r>
              <w:rPr>
                <w:rFonts w:ascii="Times New Roman" w:eastAsia="Times New Roman" w:hAnsi="Times New Roman"/>
                <w:sz w:val="15"/>
              </w:rPr>
              <w:t>Safe; potential synergistic candidate (see Table 2)</w:t>
            </w:r>
          </w:p>
        </w:tc>
      </w:tr>
    </w:tbl>
    <w:p w:rsidR="00D05705" w:rsidRDefault="00D05705">
      <w:pPr>
        <w:spacing w:after="240"/>
      </w:pPr>
    </w:p>
    <w:p w:rsidR="00D05705" w:rsidRDefault="00000000">
      <w:pPr>
        <w:pStyle w:val="21"/>
      </w:pPr>
      <w:r>
        <w:rPr>
          <w:rFonts w:ascii="Times New Roman" w:eastAsia="Times New Roman" w:hAnsi="Times New Roman"/>
          <w:sz w:val="22"/>
        </w:rPr>
        <w:t>3.6 Prioritized Synergistic Combination Partners</w:t>
      </w:r>
    </w:p>
    <w:p w:rsidR="00D05705" w:rsidRDefault="00000000">
      <w:pPr>
        <w:spacing w:after="120"/>
        <w:ind w:firstLine="360"/>
      </w:pPr>
      <w:r>
        <w:rPr>
          <w:rFonts w:ascii="Times New Roman" w:eastAsia="Times New Roman" w:hAnsi="Times New Roman"/>
          <w:sz w:val="20"/>
        </w:rPr>
        <w:t>After applying active mechanism hard gates (requiring synergistic pathway support, AD-anchored target, or genetic efficacy evidence, with no bleeding liability), five synergistic partners were prioritized (Table 2, Figure 6). Lithium carbonate (fused score 0.86) ranked first, supported by HGT synergy prediction, GSK-3β genetic AD-protective signal, phase II cognitive benefit signals, and complete absence of bleeding liability. Sodium cromoglycate (fused score 0.81) ranked second, with mast cell stabilization biological plausibility for ARIA mitigation and no bleeding signal, supported by preclinical data showing mast cell activation mediates ARIA pathogenesis.</w:t>
      </w:r>
    </w:p>
    <w:p w:rsidR="00D05705" w:rsidRDefault="00000000">
      <w:r>
        <w:rPr>
          <w:rFonts w:ascii="Times New Roman" w:eastAsia="Times New Roman" w:hAnsi="Times New Roman"/>
          <w:b/>
          <w:sz w:val="20"/>
        </w:rPr>
        <w:t>Table 2. Prioritized synergistic combination partners for anti-Aβ therapy with minimal ARIA-H liability.</w:t>
      </w:r>
    </w:p>
    <w:tbl>
      <w:tblPr>
        <w:tblStyle w:val="aff1"/>
        <w:tblW w:w="0" w:type="auto"/>
        <w:tblLook w:val="04A0" w:firstRow="1" w:lastRow="0" w:firstColumn="1" w:lastColumn="0" w:noHBand="0" w:noVBand="1"/>
      </w:tblPr>
      <w:tblGrid>
        <w:gridCol w:w="1337"/>
        <w:gridCol w:w="1337"/>
        <w:gridCol w:w="1366"/>
        <w:gridCol w:w="1337"/>
        <w:gridCol w:w="1337"/>
        <w:gridCol w:w="1337"/>
        <w:gridCol w:w="1337"/>
      </w:tblGrid>
      <w:tr w:rsidR="00D05705">
        <w:tc>
          <w:tcPr>
            <w:tcW w:w="1337" w:type="dxa"/>
          </w:tcPr>
          <w:p w:rsidR="00D05705" w:rsidRDefault="00000000">
            <w:r>
              <w:rPr>
                <w:rFonts w:ascii="Times New Roman" w:eastAsia="Times New Roman" w:hAnsi="Times New Roman"/>
                <w:b/>
                <w:sz w:val="16"/>
              </w:rPr>
              <w:t>Rank</w:t>
            </w:r>
          </w:p>
        </w:tc>
        <w:tc>
          <w:tcPr>
            <w:tcW w:w="1337" w:type="dxa"/>
          </w:tcPr>
          <w:p w:rsidR="00D05705" w:rsidRDefault="00000000">
            <w:r>
              <w:rPr>
                <w:rFonts w:ascii="Times New Roman" w:eastAsia="Times New Roman" w:hAnsi="Times New Roman"/>
                <w:b/>
                <w:sz w:val="16"/>
              </w:rPr>
              <w:t>Drug</w:t>
            </w:r>
          </w:p>
        </w:tc>
        <w:tc>
          <w:tcPr>
            <w:tcW w:w="1337" w:type="dxa"/>
          </w:tcPr>
          <w:p w:rsidR="00D05705" w:rsidRDefault="00000000">
            <w:r>
              <w:rPr>
                <w:rFonts w:ascii="Times New Roman" w:eastAsia="Times New Roman" w:hAnsi="Times New Roman"/>
                <w:b/>
                <w:sz w:val="16"/>
              </w:rPr>
              <w:t>Mechanism of Action</w:t>
            </w:r>
          </w:p>
        </w:tc>
        <w:tc>
          <w:tcPr>
            <w:tcW w:w="1337" w:type="dxa"/>
          </w:tcPr>
          <w:p w:rsidR="00D05705" w:rsidRDefault="00000000">
            <w:r>
              <w:rPr>
                <w:rFonts w:ascii="Times New Roman" w:eastAsia="Times New Roman" w:hAnsi="Times New Roman"/>
                <w:b/>
                <w:sz w:val="16"/>
              </w:rPr>
              <w:t>Evidence Streams Supporting</w:t>
            </w:r>
          </w:p>
        </w:tc>
        <w:tc>
          <w:tcPr>
            <w:tcW w:w="1337" w:type="dxa"/>
          </w:tcPr>
          <w:p w:rsidR="00D05705" w:rsidRDefault="00000000">
            <w:r>
              <w:rPr>
                <w:rFonts w:ascii="Times New Roman" w:eastAsia="Times New Roman" w:hAnsi="Times New Roman"/>
                <w:b/>
                <w:sz w:val="16"/>
              </w:rPr>
              <w:t>Fused Priority Score</w:t>
            </w:r>
          </w:p>
        </w:tc>
        <w:tc>
          <w:tcPr>
            <w:tcW w:w="1337" w:type="dxa"/>
          </w:tcPr>
          <w:p w:rsidR="00D05705" w:rsidRDefault="00000000">
            <w:r>
              <w:rPr>
                <w:rFonts w:ascii="Times New Roman" w:eastAsia="Times New Roman" w:hAnsi="Times New Roman"/>
                <w:b/>
                <w:sz w:val="16"/>
              </w:rPr>
              <w:t>Development Readiness</w:t>
            </w:r>
          </w:p>
        </w:tc>
        <w:tc>
          <w:tcPr>
            <w:tcW w:w="1337" w:type="dxa"/>
          </w:tcPr>
          <w:p w:rsidR="00D05705" w:rsidRDefault="00000000">
            <w:r>
              <w:rPr>
                <w:rFonts w:ascii="Times New Roman" w:eastAsia="Times New Roman" w:hAnsi="Times New Roman"/>
                <w:b/>
                <w:sz w:val="16"/>
              </w:rPr>
              <w:t>ARIA Risk Concern</w:t>
            </w:r>
          </w:p>
        </w:tc>
      </w:tr>
      <w:tr w:rsidR="00D05705">
        <w:tc>
          <w:tcPr>
            <w:tcW w:w="1337" w:type="dxa"/>
          </w:tcPr>
          <w:p w:rsidR="00D05705" w:rsidRDefault="00000000">
            <w:r>
              <w:rPr>
                <w:rFonts w:ascii="Times New Roman" w:eastAsia="Times New Roman" w:hAnsi="Times New Roman"/>
                <w:sz w:val="15"/>
              </w:rPr>
              <w:t>1</w:t>
            </w:r>
          </w:p>
        </w:tc>
        <w:tc>
          <w:tcPr>
            <w:tcW w:w="1337" w:type="dxa"/>
          </w:tcPr>
          <w:p w:rsidR="00D05705" w:rsidRDefault="00000000">
            <w:r>
              <w:rPr>
                <w:rFonts w:ascii="Times New Roman" w:eastAsia="Times New Roman" w:hAnsi="Times New Roman"/>
                <w:sz w:val="15"/>
              </w:rPr>
              <w:t>Lithium carbonate</w:t>
            </w:r>
          </w:p>
        </w:tc>
        <w:tc>
          <w:tcPr>
            <w:tcW w:w="1337" w:type="dxa"/>
          </w:tcPr>
          <w:p w:rsidR="00D05705" w:rsidRDefault="00000000">
            <w:r>
              <w:rPr>
                <w:rFonts w:ascii="Times New Roman" w:eastAsia="Times New Roman" w:hAnsi="Times New Roman"/>
                <w:sz w:val="15"/>
              </w:rPr>
              <w:t>GSK-3β inhibition; tau phosphorylation reduction; anti-inflammatory</w:t>
            </w:r>
          </w:p>
        </w:tc>
        <w:tc>
          <w:tcPr>
            <w:tcW w:w="1337" w:type="dxa"/>
          </w:tcPr>
          <w:p w:rsidR="00D05705" w:rsidRDefault="00000000">
            <w:r>
              <w:rPr>
                <w:rFonts w:ascii="Times New Roman" w:eastAsia="Times New Roman" w:hAnsi="Times New Roman"/>
                <w:sz w:val="15"/>
              </w:rPr>
              <w:t>HGT link prediction; MR GSK-3β AD-protective signal; phase II cognitive benefit signals; no bleeding liability</w:t>
            </w:r>
          </w:p>
        </w:tc>
        <w:tc>
          <w:tcPr>
            <w:tcW w:w="1337" w:type="dxa"/>
          </w:tcPr>
          <w:p w:rsidR="00D05705" w:rsidRDefault="00000000">
            <w:r>
              <w:rPr>
                <w:rFonts w:ascii="Times New Roman" w:eastAsia="Times New Roman" w:hAnsi="Times New Roman"/>
                <w:sz w:val="15"/>
              </w:rPr>
              <w:t>0.86</w:t>
            </w:r>
          </w:p>
        </w:tc>
        <w:tc>
          <w:tcPr>
            <w:tcW w:w="1337" w:type="dxa"/>
          </w:tcPr>
          <w:p w:rsidR="00D05705" w:rsidRDefault="00000000">
            <w:r>
              <w:rPr>
                <w:rFonts w:ascii="Times New Roman" w:eastAsia="Times New Roman" w:hAnsi="Times New Roman"/>
                <w:sz w:val="15"/>
              </w:rPr>
              <w:t>Generic widely available; phase II AD trials ongoing; ready for combination platform trial</w:t>
            </w:r>
          </w:p>
        </w:tc>
        <w:tc>
          <w:tcPr>
            <w:tcW w:w="1337" w:type="dxa"/>
          </w:tcPr>
          <w:p w:rsidR="00D05705" w:rsidRDefault="00000000">
            <w:r>
              <w:rPr>
                <w:rFonts w:ascii="Times New Roman" w:eastAsia="Times New Roman" w:hAnsi="Times New Roman"/>
                <w:sz w:val="15"/>
              </w:rPr>
              <w:t>Minimal</w:t>
            </w:r>
          </w:p>
        </w:tc>
      </w:tr>
      <w:tr w:rsidR="00D05705">
        <w:tc>
          <w:tcPr>
            <w:tcW w:w="1337" w:type="dxa"/>
          </w:tcPr>
          <w:p w:rsidR="00D05705" w:rsidRDefault="00000000">
            <w:r>
              <w:rPr>
                <w:rFonts w:ascii="Times New Roman" w:eastAsia="Times New Roman" w:hAnsi="Times New Roman"/>
                <w:sz w:val="15"/>
              </w:rPr>
              <w:t>2</w:t>
            </w:r>
          </w:p>
        </w:tc>
        <w:tc>
          <w:tcPr>
            <w:tcW w:w="1337" w:type="dxa"/>
          </w:tcPr>
          <w:p w:rsidR="00D05705" w:rsidRDefault="00000000">
            <w:r>
              <w:rPr>
                <w:rFonts w:ascii="Times New Roman" w:eastAsia="Times New Roman" w:hAnsi="Times New Roman"/>
                <w:sz w:val="15"/>
              </w:rPr>
              <w:t>Sodium cromoglycate</w:t>
            </w:r>
          </w:p>
        </w:tc>
        <w:tc>
          <w:tcPr>
            <w:tcW w:w="1337" w:type="dxa"/>
          </w:tcPr>
          <w:p w:rsidR="00D05705" w:rsidRDefault="00000000">
            <w:r>
              <w:rPr>
                <w:rFonts w:ascii="Times New Roman" w:eastAsia="Times New Roman" w:hAnsi="Times New Roman"/>
                <w:sz w:val="15"/>
              </w:rPr>
              <w:t>Mast cell stabilization; blood-brain barrier protection; neuroinflammation inhibition</w:t>
            </w:r>
          </w:p>
        </w:tc>
        <w:tc>
          <w:tcPr>
            <w:tcW w:w="1337" w:type="dxa"/>
          </w:tcPr>
          <w:p w:rsidR="00D05705" w:rsidRDefault="00000000">
            <w:r>
              <w:rPr>
                <w:rFonts w:ascii="Times New Roman" w:eastAsia="Times New Roman" w:hAnsi="Times New Roman"/>
                <w:sz w:val="15"/>
              </w:rPr>
              <w:t>HGT high-priority score; mast cell ARIA mechanism alignment; no MR bleeding signal; preclinical ARIA reduction data</w:t>
            </w:r>
          </w:p>
        </w:tc>
        <w:tc>
          <w:tcPr>
            <w:tcW w:w="1337" w:type="dxa"/>
          </w:tcPr>
          <w:p w:rsidR="00D05705" w:rsidRDefault="00000000">
            <w:r>
              <w:rPr>
                <w:rFonts w:ascii="Times New Roman" w:eastAsia="Times New Roman" w:hAnsi="Times New Roman"/>
                <w:sz w:val="15"/>
              </w:rPr>
              <w:t>0.81</w:t>
            </w:r>
          </w:p>
        </w:tc>
        <w:tc>
          <w:tcPr>
            <w:tcW w:w="1337" w:type="dxa"/>
          </w:tcPr>
          <w:p w:rsidR="00D05705" w:rsidRDefault="00000000">
            <w:r>
              <w:rPr>
                <w:rFonts w:ascii="Times New Roman" w:eastAsia="Times New Roman" w:hAnsi="Times New Roman"/>
                <w:sz w:val="15"/>
              </w:rPr>
              <w:t>OTC asthma medication; well-established safety; repurposing phase I/II ready</w:t>
            </w:r>
          </w:p>
        </w:tc>
        <w:tc>
          <w:tcPr>
            <w:tcW w:w="1337" w:type="dxa"/>
          </w:tcPr>
          <w:p w:rsidR="00D05705" w:rsidRDefault="00000000">
            <w:r>
              <w:rPr>
                <w:rFonts w:ascii="Times New Roman" w:eastAsia="Times New Roman" w:hAnsi="Times New Roman"/>
                <w:sz w:val="15"/>
              </w:rPr>
              <w:t>Minimal</w:t>
            </w:r>
          </w:p>
        </w:tc>
      </w:tr>
      <w:tr w:rsidR="00D05705">
        <w:tc>
          <w:tcPr>
            <w:tcW w:w="1337" w:type="dxa"/>
          </w:tcPr>
          <w:p w:rsidR="00D05705" w:rsidRDefault="00000000">
            <w:r>
              <w:rPr>
                <w:rFonts w:ascii="Times New Roman" w:eastAsia="Times New Roman" w:hAnsi="Times New Roman"/>
                <w:sz w:val="15"/>
              </w:rPr>
              <w:t>3</w:t>
            </w:r>
          </w:p>
        </w:tc>
        <w:tc>
          <w:tcPr>
            <w:tcW w:w="1337" w:type="dxa"/>
          </w:tcPr>
          <w:p w:rsidR="00D05705" w:rsidRDefault="00000000">
            <w:r>
              <w:rPr>
                <w:rFonts w:ascii="Times New Roman" w:eastAsia="Times New Roman" w:hAnsi="Times New Roman"/>
                <w:sz w:val="15"/>
              </w:rPr>
              <w:t>Nicotinamide riboside</w:t>
            </w:r>
          </w:p>
        </w:tc>
        <w:tc>
          <w:tcPr>
            <w:tcW w:w="1337" w:type="dxa"/>
          </w:tcPr>
          <w:p w:rsidR="00D05705" w:rsidRDefault="00000000">
            <w:r>
              <w:rPr>
                <w:rFonts w:ascii="Times New Roman" w:eastAsia="Times New Roman" w:hAnsi="Times New Roman"/>
                <w:sz w:val="15"/>
              </w:rPr>
              <w:t>NAD+ precursor; mitophagy enhancement; vascular endothelial protection</w:t>
            </w:r>
          </w:p>
        </w:tc>
        <w:tc>
          <w:tcPr>
            <w:tcW w:w="1337" w:type="dxa"/>
          </w:tcPr>
          <w:p w:rsidR="00D05705" w:rsidRDefault="00000000">
            <w:r>
              <w:rPr>
                <w:rFonts w:ascii="Times New Roman" w:eastAsia="Times New Roman" w:hAnsi="Times New Roman"/>
                <w:sz w:val="15"/>
              </w:rPr>
              <w:t>HGT high-priority; vascular pathway MR support; BBB integrity protection; excellent safety profile</w:t>
            </w:r>
          </w:p>
        </w:tc>
        <w:tc>
          <w:tcPr>
            <w:tcW w:w="1337" w:type="dxa"/>
          </w:tcPr>
          <w:p w:rsidR="00D05705" w:rsidRDefault="00000000">
            <w:r>
              <w:rPr>
                <w:rFonts w:ascii="Times New Roman" w:eastAsia="Times New Roman" w:hAnsi="Times New Roman"/>
                <w:sz w:val="15"/>
              </w:rPr>
              <w:t>0.76</w:t>
            </w:r>
          </w:p>
        </w:tc>
        <w:tc>
          <w:tcPr>
            <w:tcW w:w="1337" w:type="dxa"/>
          </w:tcPr>
          <w:p w:rsidR="00D05705" w:rsidRDefault="00000000">
            <w:r>
              <w:rPr>
                <w:rFonts w:ascii="Times New Roman" w:eastAsia="Times New Roman" w:hAnsi="Times New Roman"/>
                <w:sz w:val="15"/>
              </w:rPr>
              <w:t>OTC supplement; GRAS status; pilot combination study feasible</w:t>
            </w:r>
          </w:p>
        </w:tc>
        <w:tc>
          <w:tcPr>
            <w:tcW w:w="1337" w:type="dxa"/>
          </w:tcPr>
          <w:p w:rsidR="00D05705" w:rsidRDefault="00000000">
            <w:r>
              <w:rPr>
                <w:rFonts w:ascii="Times New Roman" w:eastAsia="Times New Roman" w:hAnsi="Times New Roman"/>
                <w:sz w:val="15"/>
              </w:rPr>
              <w:t>Minimal</w:t>
            </w:r>
          </w:p>
        </w:tc>
      </w:tr>
      <w:tr w:rsidR="00D05705">
        <w:tc>
          <w:tcPr>
            <w:tcW w:w="1337" w:type="dxa"/>
          </w:tcPr>
          <w:p w:rsidR="00D05705" w:rsidRDefault="00000000">
            <w:r>
              <w:rPr>
                <w:rFonts w:ascii="Times New Roman" w:eastAsia="Times New Roman" w:hAnsi="Times New Roman"/>
                <w:sz w:val="15"/>
              </w:rPr>
              <w:t>4</w:t>
            </w:r>
          </w:p>
        </w:tc>
        <w:tc>
          <w:tcPr>
            <w:tcW w:w="1337" w:type="dxa"/>
          </w:tcPr>
          <w:p w:rsidR="00D05705" w:rsidRDefault="00000000">
            <w:r>
              <w:rPr>
                <w:rFonts w:ascii="Times New Roman" w:eastAsia="Times New Roman" w:hAnsi="Times New Roman"/>
                <w:sz w:val="15"/>
              </w:rPr>
              <w:t>Bifemelane</w:t>
            </w:r>
          </w:p>
        </w:tc>
        <w:tc>
          <w:tcPr>
            <w:tcW w:w="1337" w:type="dxa"/>
          </w:tcPr>
          <w:p w:rsidR="00D05705" w:rsidRDefault="00000000">
            <w:r>
              <w:rPr>
                <w:rFonts w:ascii="Times New Roman" w:eastAsia="Times New Roman" w:hAnsi="Times New Roman"/>
                <w:sz w:val="15"/>
              </w:rPr>
              <w:t>MAO-B inhibition; cerebral blood flow improvement; antioxidant</w:t>
            </w:r>
          </w:p>
        </w:tc>
        <w:tc>
          <w:tcPr>
            <w:tcW w:w="1337" w:type="dxa"/>
          </w:tcPr>
          <w:p w:rsidR="00D05705" w:rsidRDefault="00000000">
            <w:r>
              <w:rPr>
                <w:rFonts w:ascii="Times New Roman" w:eastAsia="Times New Roman" w:hAnsi="Times New Roman"/>
                <w:sz w:val="15"/>
              </w:rPr>
              <w:t>HGT priority; cerebrovascular protection; Japanese market long-term safety; no bleeding signal</w:t>
            </w:r>
          </w:p>
        </w:tc>
        <w:tc>
          <w:tcPr>
            <w:tcW w:w="1337" w:type="dxa"/>
          </w:tcPr>
          <w:p w:rsidR="00D05705" w:rsidRDefault="00000000">
            <w:r>
              <w:rPr>
                <w:rFonts w:ascii="Times New Roman" w:eastAsia="Times New Roman" w:hAnsi="Times New Roman"/>
                <w:sz w:val="15"/>
              </w:rPr>
              <w:t>0.78</w:t>
            </w:r>
          </w:p>
        </w:tc>
        <w:tc>
          <w:tcPr>
            <w:tcW w:w="1337" w:type="dxa"/>
          </w:tcPr>
          <w:p w:rsidR="00D05705" w:rsidRDefault="00000000">
            <w:r>
              <w:rPr>
                <w:rFonts w:ascii="Times New Roman" w:eastAsia="Times New Roman" w:hAnsi="Times New Roman"/>
                <w:sz w:val="15"/>
              </w:rPr>
              <w:t>Approved in Japan for cerebrovascular disorders; low regulatory barrier</w:t>
            </w:r>
          </w:p>
        </w:tc>
        <w:tc>
          <w:tcPr>
            <w:tcW w:w="1337" w:type="dxa"/>
          </w:tcPr>
          <w:p w:rsidR="00D05705" w:rsidRDefault="00000000">
            <w:r>
              <w:rPr>
                <w:rFonts w:ascii="Times New Roman" w:eastAsia="Times New Roman" w:hAnsi="Times New Roman"/>
                <w:sz w:val="15"/>
              </w:rPr>
              <w:t>Minimal</w:t>
            </w:r>
          </w:p>
        </w:tc>
      </w:tr>
      <w:tr w:rsidR="00D05705">
        <w:tc>
          <w:tcPr>
            <w:tcW w:w="1337" w:type="dxa"/>
          </w:tcPr>
          <w:p w:rsidR="00D05705" w:rsidRDefault="00000000">
            <w:r>
              <w:rPr>
                <w:rFonts w:ascii="Times New Roman" w:eastAsia="Times New Roman" w:hAnsi="Times New Roman"/>
                <w:sz w:val="15"/>
              </w:rPr>
              <w:t>5</w:t>
            </w:r>
          </w:p>
        </w:tc>
        <w:tc>
          <w:tcPr>
            <w:tcW w:w="1337" w:type="dxa"/>
          </w:tcPr>
          <w:p w:rsidR="00D05705" w:rsidRDefault="00000000">
            <w:r>
              <w:rPr>
                <w:rFonts w:ascii="Times New Roman" w:eastAsia="Times New Roman" w:hAnsi="Times New Roman"/>
                <w:sz w:val="15"/>
              </w:rPr>
              <w:t>Quercetin</w:t>
            </w:r>
          </w:p>
        </w:tc>
        <w:tc>
          <w:tcPr>
            <w:tcW w:w="1337" w:type="dxa"/>
          </w:tcPr>
          <w:p w:rsidR="00D05705" w:rsidRDefault="00000000">
            <w:r>
              <w:rPr>
                <w:rFonts w:ascii="Times New Roman" w:eastAsia="Times New Roman" w:hAnsi="Times New Roman"/>
                <w:sz w:val="15"/>
              </w:rPr>
              <w:t>Natural flavonoid; antioxidant; anti-inflammatory; Aβ aggregation inhibition</w:t>
            </w:r>
          </w:p>
        </w:tc>
        <w:tc>
          <w:tcPr>
            <w:tcW w:w="1337" w:type="dxa"/>
          </w:tcPr>
          <w:p w:rsidR="00D05705" w:rsidRDefault="00000000">
            <w:r>
              <w:rPr>
                <w:rFonts w:ascii="Times New Roman" w:eastAsia="Times New Roman" w:hAnsi="Times New Roman"/>
                <w:sz w:val="15"/>
              </w:rPr>
              <w:t>HGT priority; natural product safety; preclinical anti-amyloid; BBB permeability</w:t>
            </w:r>
          </w:p>
        </w:tc>
        <w:tc>
          <w:tcPr>
            <w:tcW w:w="1337" w:type="dxa"/>
          </w:tcPr>
          <w:p w:rsidR="00D05705" w:rsidRDefault="00000000">
            <w:r>
              <w:rPr>
                <w:rFonts w:ascii="Times New Roman" w:eastAsia="Times New Roman" w:hAnsi="Times New Roman"/>
                <w:sz w:val="15"/>
              </w:rPr>
              <w:t>0.71</w:t>
            </w:r>
          </w:p>
        </w:tc>
        <w:tc>
          <w:tcPr>
            <w:tcW w:w="1337" w:type="dxa"/>
          </w:tcPr>
          <w:p w:rsidR="00D05705" w:rsidRDefault="00000000">
            <w:r>
              <w:rPr>
                <w:rFonts w:ascii="Times New Roman" w:eastAsia="Times New Roman" w:hAnsi="Times New Roman"/>
                <w:sz w:val="15"/>
              </w:rPr>
              <w:t>Dietary supplement; preclinical validation needed before clinical testing</w:t>
            </w:r>
          </w:p>
        </w:tc>
        <w:tc>
          <w:tcPr>
            <w:tcW w:w="1337" w:type="dxa"/>
          </w:tcPr>
          <w:p w:rsidR="00D05705" w:rsidRDefault="00000000">
            <w:r>
              <w:rPr>
                <w:rFonts w:ascii="Times New Roman" w:eastAsia="Times New Roman" w:hAnsi="Times New Roman"/>
                <w:sz w:val="15"/>
              </w:rPr>
              <w:t>Minimal</w:t>
            </w:r>
          </w:p>
        </w:tc>
      </w:tr>
    </w:tbl>
    <w:p w:rsidR="00D05705" w:rsidRDefault="00D05705">
      <w:pPr>
        <w:spacing w:after="240"/>
      </w:pPr>
    </w:p>
    <w:p w:rsidR="00D05705" w:rsidRDefault="00000000">
      <w:pPr>
        <w:pStyle w:val="21"/>
      </w:pPr>
      <w:r>
        <w:rPr>
          <w:rFonts w:ascii="Times New Roman" w:eastAsia="Times New Roman" w:hAnsi="Times New Roman"/>
          <w:sz w:val="22"/>
        </w:rPr>
        <w:lastRenderedPageBreak/>
        <w:t>3.7 Mechanism-Anchored Repurposing Candidates</w:t>
      </w:r>
    </w:p>
    <w:p w:rsidR="00D05705" w:rsidRDefault="00000000">
      <w:pPr>
        <w:spacing w:after="120"/>
        <w:ind w:firstLine="360"/>
      </w:pPr>
      <w:r>
        <w:rPr>
          <w:rFonts w:ascii="Times New Roman" w:eastAsia="Times New Roman" w:hAnsi="Times New Roman"/>
          <w:sz w:val="20"/>
        </w:rPr>
        <w:t>Three mechanism-anchored repurposing candidates were prioritized (Table 3). Tramiprosate/ALZ-801 (fused score 0.89, ARIA liability 0.12) received the highest ranking and was independently validated by recently reported phase III biomarker-positive results demonstrating 35% reduction in cognitive decline in biomarker-confirmed homozygous APOE4 AD patients—this represents a strong external validation of the KG prediction pipeline. Sodium benzoate (D-amino acid oxidase inhibitor) ranked second, with genetic support and clinical encephalopathy experience. The cromolyn + low-dose ibuprofen combination (ALZT-OP1), currently in phase II/III, was independently captured by the synergy prediction pipeline.</w:t>
      </w:r>
    </w:p>
    <w:p w:rsidR="00D05705" w:rsidRDefault="00000000">
      <w:r>
        <w:rPr>
          <w:noProof/>
        </w:rPr>
        <w:drawing>
          <wp:inline distT="0" distB="0" distL="0" distR="0">
            <wp:extent cx="5943600" cy="4000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andidate_ranking.png"/>
                    <pic:cNvPicPr/>
                  </pic:nvPicPr>
                  <pic:blipFill>
                    <a:blip r:embed="rId11"/>
                    <a:stretch>
                      <a:fillRect/>
                    </a:stretch>
                  </pic:blipFill>
                  <pic:spPr>
                    <a:xfrm>
                      <a:off x="0" y="0"/>
                      <a:ext cx="5943600" cy="4000760"/>
                    </a:xfrm>
                    <a:prstGeom prst="rect">
                      <a:avLst/>
                    </a:prstGeom>
                  </pic:spPr>
                </pic:pic>
              </a:graphicData>
            </a:graphic>
          </wp:inline>
        </w:drawing>
      </w:r>
    </w:p>
    <w:p w:rsidR="00D05705" w:rsidRDefault="00000000">
      <w:pPr>
        <w:spacing w:after="120"/>
        <w:jc w:val="center"/>
      </w:pPr>
      <w:r>
        <w:rPr>
          <w:rFonts w:ascii="Times New Roman" w:eastAsia="Times New Roman" w:hAnsi="Times New Roman"/>
          <w:i/>
          <w:sz w:val="18"/>
        </w:rPr>
        <w:t>Figure 6. Fused priority score ranking for repurposing candidates and synergistic partners, decomposed by five evidence streams. Tramiprosate is marked as externally phase III validated.</w:t>
      </w:r>
    </w:p>
    <w:p w:rsidR="00D05705" w:rsidRDefault="00000000">
      <w:r>
        <w:rPr>
          <w:rFonts w:ascii="Times New Roman" w:eastAsia="Times New Roman" w:hAnsi="Times New Roman"/>
          <w:b/>
          <w:sz w:val="20"/>
        </w:rPr>
        <w:t>Table 3. Mechanism-anchored drug repurposing candidates for anti-Aβ combination therapy.</w:t>
      </w:r>
    </w:p>
    <w:tbl>
      <w:tblPr>
        <w:tblStyle w:val="aff1"/>
        <w:tblW w:w="0" w:type="auto"/>
        <w:tblLook w:val="04A0" w:firstRow="1" w:lastRow="0" w:firstColumn="1" w:lastColumn="0" w:noHBand="0" w:noVBand="1"/>
      </w:tblPr>
      <w:tblGrid>
        <w:gridCol w:w="1155"/>
        <w:gridCol w:w="1166"/>
        <w:gridCol w:w="1366"/>
        <w:gridCol w:w="1164"/>
        <w:gridCol w:w="1170"/>
        <w:gridCol w:w="1161"/>
        <w:gridCol w:w="1230"/>
        <w:gridCol w:w="1164"/>
      </w:tblGrid>
      <w:tr w:rsidR="00D05705">
        <w:tc>
          <w:tcPr>
            <w:tcW w:w="1170" w:type="dxa"/>
          </w:tcPr>
          <w:p w:rsidR="00D05705" w:rsidRDefault="00000000">
            <w:r>
              <w:rPr>
                <w:rFonts w:ascii="Times New Roman" w:eastAsia="Times New Roman" w:hAnsi="Times New Roman"/>
                <w:b/>
                <w:sz w:val="16"/>
              </w:rPr>
              <w:t>Rank</w:t>
            </w:r>
          </w:p>
        </w:tc>
        <w:tc>
          <w:tcPr>
            <w:tcW w:w="1170" w:type="dxa"/>
          </w:tcPr>
          <w:p w:rsidR="00D05705" w:rsidRDefault="00000000">
            <w:r>
              <w:rPr>
                <w:rFonts w:ascii="Times New Roman" w:eastAsia="Times New Roman" w:hAnsi="Times New Roman"/>
                <w:b/>
                <w:sz w:val="16"/>
              </w:rPr>
              <w:t>Drug</w:t>
            </w:r>
          </w:p>
        </w:tc>
        <w:tc>
          <w:tcPr>
            <w:tcW w:w="1170" w:type="dxa"/>
          </w:tcPr>
          <w:p w:rsidR="00D05705" w:rsidRDefault="00000000">
            <w:r>
              <w:rPr>
                <w:rFonts w:ascii="Times New Roman" w:eastAsia="Times New Roman" w:hAnsi="Times New Roman"/>
                <w:b/>
                <w:sz w:val="16"/>
              </w:rPr>
              <w:t>Target/Pathway</w:t>
            </w:r>
          </w:p>
        </w:tc>
        <w:tc>
          <w:tcPr>
            <w:tcW w:w="1170" w:type="dxa"/>
          </w:tcPr>
          <w:p w:rsidR="00D05705" w:rsidRDefault="00000000">
            <w:r>
              <w:rPr>
                <w:rFonts w:ascii="Times New Roman" w:eastAsia="Times New Roman" w:hAnsi="Times New Roman"/>
                <w:b/>
                <w:sz w:val="16"/>
              </w:rPr>
              <w:t>HGT Prediction Score</w:t>
            </w:r>
          </w:p>
        </w:tc>
        <w:tc>
          <w:tcPr>
            <w:tcW w:w="1170" w:type="dxa"/>
          </w:tcPr>
          <w:p w:rsidR="00D05705" w:rsidRDefault="00000000">
            <w:r>
              <w:rPr>
                <w:rFonts w:ascii="Times New Roman" w:eastAsia="Times New Roman" w:hAnsi="Times New Roman"/>
                <w:b/>
                <w:sz w:val="16"/>
              </w:rPr>
              <w:t>Triangulated Evidence</w:t>
            </w:r>
          </w:p>
        </w:tc>
        <w:tc>
          <w:tcPr>
            <w:tcW w:w="1170" w:type="dxa"/>
          </w:tcPr>
          <w:p w:rsidR="00D05705" w:rsidRDefault="00000000">
            <w:r>
              <w:rPr>
                <w:rFonts w:ascii="Times New Roman" w:eastAsia="Times New Roman" w:hAnsi="Times New Roman"/>
                <w:b/>
                <w:sz w:val="16"/>
              </w:rPr>
              <w:t>ARIA Liability Score</w:t>
            </w:r>
          </w:p>
        </w:tc>
        <w:tc>
          <w:tcPr>
            <w:tcW w:w="1170" w:type="dxa"/>
          </w:tcPr>
          <w:p w:rsidR="00D05705" w:rsidRDefault="00000000">
            <w:r>
              <w:rPr>
                <w:rFonts w:ascii="Times New Roman" w:eastAsia="Times New Roman" w:hAnsi="Times New Roman"/>
                <w:b/>
                <w:sz w:val="16"/>
              </w:rPr>
              <w:t>Recommended Development Path</w:t>
            </w:r>
          </w:p>
        </w:tc>
        <w:tc>
          <w:tcPr>
            <w:tcW w:w="1170" w:type="dxa"/>
          </w:tcPr>
          <w:p w:rsidR="00D05705" w:rsidRDefault="00000000">
            <w:r>
              <w:rPr>
                <w:rFonts w:ascii="Times New Roman" w:eastAsia="Times New Roman" w:hAnsi="Times New Roman"/>
                <w:b/>
                <w:sz w:val="16"/>
              </w:rPr>
              <w:t>Validation Status</w:t>
            </w:r>
          </w:p>
        </w:tc>
      </w:tr>
      <w:tr w:rsidR="00D05705">
        <w:tc>
          <w:tcPr>
            <w:tcW w:w="1170" w:type="dxa"/>
          </w:tcPr>
          <w:p w:rsidR="00D05705" w:rsidRDefault="00000000">
            <w:r>
              <w:rPr>
                <w:rFonts w:ascii="Times New Roman" w:eastAsia="Times New Roman" w:hAnsi="Times New Roman"/>
                <w:sz w:val="15"/>
              </w:rPr>
              <w:t>1</w:t>
            </w:r>
          </w:p>
        </w:tc>
        <w:tc>
          <w:tcPr>
            <w:tcW w:w="1170" w:type="dxa"/>
          </w:tcPr>
          <w:p w:rsidR="00D05705" w:rsidRDefault="00000000">
            <w:r>
              <w:rPr>
                <w:rFonts w:ascii="Times New Roman" w:eastAsia="Times New Roman" w:hAnsi="Times New Roman"/>
                <w:sz w:val="15"/>
              </w:rPr>
              <w:t>Tramiprosate / ALZ-801</w:t>
            </w:r>
          </w:p>
        </w:tc>
        <w:tc>
          <w:tcPr>
            <w:tcW w:w="1170" w:type="dxa"/>
          </w:tcPr>
          <w:p w:rsidR="00D05705" w:rsidRDefault="00000000">
            <w:r>
              <w:rPr>
                <w:rFonts w:ascii="Times New Roman" w:eastAsia="Times New Roman" w:hAnsi="Times New Roman"/>
                <w:sz w:val="15"/>
              </w:rPr>
              <w:t>Soluble Aβ oligomer binding; GAG mimetic</w:t>
            </w:r>
          </w:p>
        </w:tc>
        <w:tc>
          <w:tcPr>
            <w:tcW w:w="1170" w:type="dxa"/>
          </w:tcPr>
          <w:p w:rsidR="00D05705" w:rsidRDefault="00000000">
            <w:r>
              <w:rPr>
                <w:rFonts w:ascii="Times New Roman" w:eastAsia="Times New Roman" w:hAnsi="Times New Roman"/>
                <w:sz w:val="15"/>
              </w:rPr>
              <w:t>0.92</w:t>
            </w:r>
          </w:p>
        </w:tc>
        <w:tc>
          <w:tcPr>
            <w:tcW w:w="1170" w:type="dxa"/>
          </w:tcPr>
          <w:p w:rsidR="00D05705" w:rsidRDefault="00000000">
            <w:r>
              <w:rPr>
                <w:rFonts w:ascii="Times New Roman" w:eastAsia="Times New Roman" w:hAnsi="Times New Roman"/>
                <w:sz w:val="15"/>
              </w:rPr>
              <w:t xml:space="preserve">Phase III P3 biomarker positive (biomarker AD cohort: 35% cognitive decline reduction); independent external validation; consistent with KG repurposing </w:t>
            </w:r>
            <w:r>
              <w:rPr>
                <w:rFonts w:ascii="Times New Roman" w:eastAsia="Times New Roman" w:hAnsi="Times New Roman"/>
                <w:sz w:val="15"/>
              </w:rPr>
              <w:lastRenderedPageBreak/>
              <w:t>prediction</w:t>
            </w:r>
          </w:p>
        </w:tc>
        <w:tc>
          <w:tcPr>
            <w:tcW w:w="1170" w:type="dxa"/>
          </w:tcPr>
          <w:p w:rsidR="00D05705" w:rsidRDefault="00000000">
            <w:r>
              <w:rPr>
                <w:rFonts w:ascii="Times New Roman" w:eastAsia="Times New Roman" w:hAnsi="Times New Roman"/>
                <w:sz w:val="15"/>
              </w:rPr>
              <w:lastRenderedPageBreak/>
              <w:t>0.12</w:t>
            </w:r>
          </w:p>
        </w:tc>
        <w:tc>
          <w:tcPr>
            <w:tcW w:w="1170" w:type="dxa"/>
          </w:tcPr>
          <w:p w:rsidR="00D05705" w:rsidRDefault="00000000">
            <w:r>
              <w:rPr>
                <w:rFonts w:ascii="Times New Roman" w:eastAsia="Times New Roman" w:hAnsi="Times New Roman"/>
                <w:sz w:val="15"/>
              </w:rPr>
              <w:t>Combination with anti-Aβ monoclonal antibodies in early AD to enhance efficacy and reduce ARIA incidence (synergistic clearance)</w:t>
            </w:r>
          </w:p>
        </w:tc>
        <w:tc>
          <w:tcPr>
            <w:tcW w:w="1170" w:type="dxa"/>
          </w:tcPr>
          <w:p w:rsidR="00D05705" w:rsidRDefault="00000000">
            <w:r>
              <w:rPr>
                <w:rFonts w:ascii="Times New Roman" w:eastAsia="Times New Roman" w:hAnsi="Times New Roman"/>
                <w:sz w:val="15"/>
              </w:rPr>
              <w:t>Phase III external validation (positive)</w:t>
            </w:r>
          </w:p>
        </w:tc>
      </w:tr>
      <w:tr w:rsidR="00D05705">
        <w:tc>
          <w:tcPr>
            <w:tcW w:w="1170" w:type="dxa"/>
          </w:tcPr>
          <w:p w:rsidR="00D05705" w:rsidRDefault="00000000">
            <w:r>
              <w:rPr>
                <w:rFonts w:ascii="Times New Roman" w:eastAsia="Times New Roman" w:hAnsi="Times New Roman"/>
                <w:sz w:val="15"/>
              </w:rPr>
              <w:t>2</w:t>
            </w:r>
          </w:p>
        </w:tc>
        <w:tc>
          <w:tcPr>
            <w:tcW w:w="1170" w:type="dxa"/>
          </w:tcPr>
          <w:p w:rsidR="00D05705" w:rsidRDefault="00000000">
            <w:r>
              <w:rPr>
                <w:rFonts w:ascii="Times New Roman" w:eastAsia="Times New Roman" w:hAnsi="Times New Roman"/>
                <w:sz w:val="15"/>
              </w:rPr>
              <w:t>Sodium benzoate</w:t>
            </w:r>
          </w:p>
        </w:tc>
        <w:tc>
          <w:tcPr>
            <w:tcW w:w="1170" w:type="dxa"/>
          </w:tcPr>
          <w:p w:rsidR="00D05705" w:rsidRDefault="00000000">
            <w:r>
              <w:rPr>
                <w:rFonts w:ascii="Times New Roman" w:eastAsia="Times New Roman" w:hAnsi="Times New Roman"/>
                <w:sz w:val="15"/>
              </w:rPr>
              <w:t>D-amino acid oxidase (DAAO) inhibition; NMDA receptor modulation</w:t>
            </w:r>
          </w:p>
        </w:tc>
        <w:tc>
          <w:tcPr>
            <w:tcW w:w="1170" w:type="dxa"/>
          </w:tcPr>
          <w:p w:rsidR="00D05705" w:rsidRDefault="00000000">
            <w:r>
              <w:rPr>
                <w:rFonts w:ascii="Times New Roman" w:eastAsia="Times New Roman" w:hAnsi="Times New Roman"/>
                <w:sz w:val="15"/>
              </w:rPr>
              <w:t>0.7</w:t>
            </w:r>
          </w:p>
        </w:tc>
        <w:tc>
          <w:tcPr>
            <w:tcW w:w="1170" w:type="dxa"/>
          </w:tcPr>
          <w:p w:rsidR="00D05705" w:rsidRDefault="00000000">
            <w:r>
              <w:rPr>
                <w:rFonts w:ascii="Times New Roman" w:eastAsia="Times New Roman" w:hAnsi="Times New Roman"/>
                <w:sz w:val="15"/>
              </w:rPr>
              <w:t>Genetic DAAO AD-association signal; preclinical cognitive benefit; Japanese encephalopathy clinical experience</w:t>
            </w:r>
          </w:p>
        </w:tc>
        <w:tc>
          <w:tcPr>
            <w:tcW w:w="1170" w:type="dxa"/>
          </w:tcPr>
          <w:p w:rsidR="00D05705" w:rsidRDefault="00000000">
            <w:r>
              <w:rPr>
                <w:rFonts w:ascii="Times New Roman" w:eastAsia="Times New Roman" w:hAnsi="Times New Roman"/>
                <w:sz w:val="15"/>
              </w:rPr>
              <w:t>0.1</w:t>
            </w:r>
          </w:p>
        </w:tc>
        <w:tc>
          <w:tcPr>
            <w:tcW w:w="1170" w:type="dxa"/>
          </w:tcPr>
          <w:p w:rsidR="00D05705" w:rsidRDefault="00000000">
            <w:r>
              <w:rPr>
                <w:rFonts w:ascii="Times New Roman" w:eastAsia="Times New Roman" w:hAnsi="Times New Roman"/>
                <w:sz w:val="15"/>
              </w:rPr>
              <w:t>Phase IIa combination trial in mild AD with ARIA MRI substudy</w:t>
            </w:r>
          </w:p>
        </w:tc>
        <w:tc>
          <w:tcPr>
            <w:tcW w:w="1170" w:type="dxa"/>
          </w:tcPr>
          <w:p w:rsidR="00D05705" w:rsidRDefault="00000000">
            <w:r>
              <w:rPr>
                <w:rFonts w:ascii="Times New Roman" w:eastAsia="Times New Roman" w:hAnsi="Times New Roman"/>
                <w:sz w:val="15"/>
              </w:rPr>
              <w:t>Preclinical + clinical signal</w:t>
            </w:r>
          </w:p>
        </w:tc>
      </w:tr>
      <w:tr w:rsidR="00D05705">
        <w:tc>
          <w:tcPr>
            <w:tcW w:w="1170" w:type="dxa"/>
          </w:tcPr>
          <w:p w:rsidR="00D05705" w:rsidRDefault="00000000">
            <w:r>
              <w:rPr>
                <w:rFonts w:ascii="Times New Roman" w:eastAsia="Times New Roman" w:hAnsi="Times New Roman"/>
                <w:sz w:val="15"/>
              </w:rPr>
              <w:t>3</w:t>
            </w:r>
          </w:p>
        </w:tc>
        <w:tc>
          <w:tcPr>
            <w:tcW w:w="1170" w:type="dxa"/>
          </w:tcPr>
          <w:p w:rsidR="00D05705" w:rsidRDefault="00000000">
            <w:r>
              <w:rPr>
                <w:rFonts w:ascii="Times New Roman" w:eastAsia="Times New Roman" w:hAnsi="Times New Roman"/>
                <w:sz w:val="15"/>
              </w:rPr>
              <w:t>Cromolyn + ibuprofen combination</w:t>
            </w:r>
          </w:p>
        </w:tc>
        <w:tc>
          <w:tcPr>
            <w:tcW w:w="1170" w:type="dxa"/>
          </w:tcPr>
          <w:p w:rsidR="00D05705" w:rsidRDefault="00000000">
            <w:r>
              <w:rPr>
                <w:rFonts w:ascii="Times New Roman" w:eastAsia="Times New Roman" w:hAnsi="Times New Roman"/>
                <w:sz w:val="15"/>
              </w:rPr>
              <w:t>Mast cell stabilization + neuroinflammation modulation (low-dose)</w:t>
            </w:r>
          </w:p>
        </w:tc>
        <w:tc>
          <w:tcPr>
            <w:tcW w:w="1170" w:type="dxa"/>
          </w:tcPr>
          <w:p w:rsidR="00D05705" w:rsidRDefault="00000000">
            <w:r>
              <w:rPr>
                <w:rFonts w:ascii="Times New Roman" w:eastAsia="Times New Roman" w:hAnsi="Times New Roman"/>
                <w:sz w:val="15"/>
              </w:rPr>
              <w:t>0.78</w:t>
            </w:r>
          </w:p>
        </w:tc>
        <w:tc>
          <w:tcPr>
            <w:tcW w:w="1170" w:type="dxa"/>
          </w:tcPr>
          <w:p w:rsidR="00D05705" w:rsidRDefault="00000000">
            <w:r>
              <w:rPr>
                <w:rFonts w:ascii="Times New Roman" w:eastAsia="Times New Roman" w:hAnsi="Times New Roman"/>
                <w:sz w:val="15"/>
              </w:rPr>
              <w:t>ALZT-OP1 phase II/III program; independent synergy prediction aligns with KG result</w:t>
            </w:r>
          </w:p>
        </w:tc>
        <w:tc>
          <w:tcPr>
            <w:tcW w:w="1170" w:type="dxa"/>
          </w:tcPr>
          <w:p w:rsidR="00D05705" w:rsidRDefault="00000000">
            <w:r>
              <w:rPr>
                <w:rFonts w:ascii="Times New Roman" w:eastAsia="Times New Roman" w:hAnsi="Times New Roman"/>
                <w:sz w:val="15"/>
              </w:rPr>
              <w:t>0.28</w:t>
            </w:r>
          </w:p>
        </w:tc>
        <w:tc>
          <w:tcPr>
            <w:tcW w:w="1170" w:type="dxa"/>
          </w:tcPr>
          <w:p w:rsidR="00D05705" w:rsidRDefault="00000000">
            <w:r>
              <w:rPr>
                <w:rFonts w:ascii="Times New Roman" w:eastAsia="Times New Roman" w:hAnsi="Times New Roman"/>
                <w:sz w:val="15"/>
              </w:rPr>
              <w:t>Phase IIb dose-ranging combination study with lecanemab in homozygous APOE4 carriers</w:t>
            </w:r>
          </w:p>
        </w:tc>
        <w:tc>
          <w:tcPr>
            <w:tcW w:w="1170" w:type="dxa"/>
          </w:tcPr>
          <w:p w:rsidR="00D05705" w:rsidRDefault="00000000">
            <w:r>
              <w:rPr>
                <w:rFonts w:ascii="Times New Roman" w:eastAsia="Times New Roman" w:hAnsi="Times New Roman"/>
                <w:sz w:val="15"/>
              </w:rPr>
              <w:t>Phase II/III external program</w:t>
            </w:r>
          </w:p>
        </w:tc>
      </w:tr>
    </w:tbl>
    <w:p w:rsidR="00D05705" w:rsidRDefault="00D05705">
      <w:pPr>
        <w:spacing w:after="240"/>
      </w:pPr>
    </w:p>
    <w:p w:rsidR="00D05705" w:rsidRDefault="00000000">
      <w:pPr>
        <w:pStyle w:val="1"/>
      </w:pPr>
      <w:r>
        <w:rPr>
          <w:rFonts w:ascii="Times New Roman" w:eastAsia="Times New Roman" w:hAnsi="Times New Roman"/>
          <w:sz w:val="24"/>
        </w:rPr>
        <w:t>4. Discussion</w:t>
      </w:r>
    </w:p>
    <w:p w:rsidR="00D05705" w:rsidRDefault="00000000">
      <w:pPr>
        <w:spacing w:after="120"/>
        <w:ind w:firstLine="360"/>
      </w:pPr>
      <w:r>
        <w:rPr>
          <w:rFonts w:ascii="Times New Roman" w:eastAsia="Times New Roman" w:hAnsi="Times New Roman"/>
          <w:sz w:val="20"/>
        </w:rPr>
        <w:t>In this study, we developed and applied a triangulated multimodal AI framework integrating KG construction, HGT link prediction, direction-aware MR, brain eQTL colocalization, and pharmacovigilance analysis to address two critical unmet needs in anti-Aβ AD therapy: evidence-based ARIA risk stratification of concomitant medications, and systematic prioritization of synergistic combination partners with minimal bleeding liability. This work represents three key advances over previous computational drug repurposing studies in AD.</w:t>
      </w:r>
    </w:p>
    <w:p w:rsidR="00D05705" w:rsidRDefault="00000000">
      <w:pPr>
        <w:spacing w:after="120"/>
        <w:ind w:firstLine="360"/>
      </w:pPr>
      <w:r>
        <w:rPr>
          <w:rFonts w:ascii="Times New Roman" w:eastAsia="Times New Roman" w:hAnsi="Times New Roman"/>
          <w:sz w:val="20"/>
        </w:rPr>
        <w:t>First, we explicitly modeled drug safety—specifically ARIA-H bleeding liability—as a primary prediction endpoint rather than an afterthought, reflecting a core translational reality: even highly effective anti-Aβ combinations will fail clinically if they increase catastrophic hemorrhage risk. The four-tier stratification system provides directly actionable guidance for clinicians managing AD patients on anti-Aβ therapy, aligning anticoagulant and NSAID risk with both pharmacovigilance signals and causal genetic evidence. Our recommendations are largely convergent with recent FDA prescribing information updates for lecanemab but add quantitative ranking and causal target validation.</w:t>
      </w:r>
    </w:p>
    <w:p w:rsidR="00D05705" w:rsidRDefault="00000000">
      <w:pPr>
        <w:spacing w:after="120"/>
        <w:ind w:firstLine="360"/>
      </w:pPr>
      <w:r>
        <w:rPr>
          <w:rFonts w:ascii="Times New Roman" w:eastAsia="Times New Roman" w:hAnsi="Times New Roman"/>
          <w:sz w:val="20"/>
        </w:rPr>
        <w:t>Second, the triangulation of HGT GNN predictions with direction-aware MR and brain colocalization addresses a core limitation of purely computational repurposing studies: the high rate of false-positive predictions. By enforcing direction-aware hard gates—excluding predictions with conflicting genetic directionality, active bleeding liability, or only countervailing evidence—we deliberately constrained candidate lists to biologically plausible, clinically actionable entities. The external validation of tramiprosate/ALZ-801, which ranked first in our repurposing pipeline before its phase III positive results were publicly available in our final analysis, provides important prospective validation of the framework.</w:t>
      </w:r>
    </w:p>
    <w:p w:rsidR="00D05705" w:rsidRDefault="00000000">
      <w:pPr>
        <w:spacing w:after="120"/>
        <w:ind w:firstLine="360"/>
      </w:pPr>
      <w:r>
        <w:rPr>
          <w:rFonts w:ascii="Times New Roman" w:eastAsia="Times New Roman" w:hAnsi="Times New Roman"/>
          <w:sz w:val="20"/>
        </w:rPr>
        <w:t>Third, per-pool percentile normalization resolves a widely recognized but rarely addressed technical issue in KG-based drug prediction: score inflation for well-connected nodes in the GNN versus sparsely connected nodes in expanded libraries. By normalizing scores within connectivity pools and imputing missing values conservatively to the median, we avoided systematic bias against novel candidates and reduced artifactual ranking of high-degree hubs.</w:t>
      </w:r>
    </w:p>
    <w:p w:rsidR="00D05705" w:rsidRDefault="00000000">
      <w:pPr>
        <w:spacing w:after="120"/>
        <w:ind w:firstLine="360"/>
      </w:pPr>
      <w:r>
        <w:rPr>
          <w:rFonts w:ascii="Times New Roman" w:eastAsia="Times New Roman" w:hAnsi="Times New Roman"/>
          <w:sz w:val="20"/>
        </w:rPr>
        <w:t xml:space="preserve">Limitations should be acknowledged. First, as with all FAERS-based analyses, pharmacovigilance signals are subject to reporting bias, underreporting, and confounding by indication; these signals represent hypothesis generation rather than definitive risk confirmation. Second, APOE genotype-stratified analysis was not possible at scale in FAERS, and ARIA risk is known to be substantially higher in APOE4 homozygotes. Third, APOE, TREM2, and SORL1—three key AD genes—did not pass MR instrument strength filters, limiting genetic triangulation for these targets. Fourth, the brain eQTL resources used did not include the full MetaBrain meta-analysis due to access </w:t>
      </w:r>
      <w:r>
        <w:rPr>
          <w:rFonts w:ascii="Times New Roman" w:eastAsia="Times New Roman" w:hAnsi="Times New Roman"/>
          <w:sz w:val="20"/>
        </w:rPr>
        <w:lastRenderedPageBreak/>
        <w:t>constraints at time of analysis. Fifth, drug dose, duration of exposure, and MRI surveillance protocol were not modeled at the individual drug level. Finally, all repurposing and synergy predictions represent computational hypotheses requiring prospective validation in clinical trials.</w:t>
      </w:r>
    </w:p>
    <w:p w:rsidR="00D05705" w:rsidRDefault="00000000">
      <w:pPr>
        <w:spacing w:after="120"/>
        <w:ind w:firstLine="360"/>
      </w:pPr>
      <w:r>
        <w:rPr>
          <w:rFonts w:ascii="Times New Roman" w:eastAsia="Times New Roman" w:hAnsi="Times New Roman"/>
          <w:sz w:val="20"/>
        </w:rPr>
        <w:t>Future directions include extension to longitudinal prescription claims databases for ARIA risk validation, incorporation of single-nucleus brain cell-type eQTL data for cell-type-specific colocalization, integration of APOE genotype-stratified KG layers, and prospective platform trial testing of the top synergistic candidates (lithium, sodium cromoglycate) in combination with anti-Aβ therapy.</w:t>
      </w:r>
    </w:p>
    <w:p w:rsidR="00D05705" w:rsidRDefault="00000000">
      <w:pPr>
        <w:pStyle w:val="1"/>
      </w:pPr>
      <w:r>
        <w:rPr>
          <w:rFonts w:ascii="Times New Roman" w:eastAsia="Times New Roman" w:hAnsi="Times New Roman"/>
          <w:sz w:val="24"/>
        </w:rPr>
        <w:t>5. Conclusions</w:t>
      </w:r>
    </w:p>
    <w:p w:rsidR="00D05705" w:rsidRDefault="00000000">
      <w:pPr>
        <w:spacing w:after="240"/>
        <w:ind w:firstLine="360"/>
      </w:pPr>
      <w:r>
        <w:rPr>
          <w:rFonts w:ascii="Times New Roman" w:eastAsia="Times New Roman" w:hAnsi="Times New Roman"/>
          <w:sz w:val="20"/>
        </w:rPr>
        <w:t>We present a triangulated multimodal KG-HGT-MR framework that provides the first evidence-based, genetically validated ARIA-H risk stratification system for concomitant medications with anti-Aβ AD therapy, identifying four clear risk tiers. We further prioritize five synergistic combination partners and three mechanism-anchored repurposing candidates with minimal bleeding liability, with tramiprosate/ALZ-801 receiving independent phase III external validation. The open-source, all-open-data pipeline provides a generalizable paradigm for computationally de-risking disease-modifying therapy implementation in neurodegenerative disease, with direct clinical applicability to the rapidly growing population of AD patients receiving anti-Aβ monoclonal antibodies.</w:t>
      </w:r>
    </w:p>
    <w:p w:rsidR="00D05705" w:rsidRDefault="00000000">
      <w:pPr>
        <w:pStyle w:val="1"/>
      </w:pPr>
      <w:r>
        <w:rPr>
          <w:rFonts w:ascii="Times New Roman" w:eastAsia="Times New Roman" w:hAnsi="Times New Roman"/>
          <w:sz w:val="24"/>
        </w:rPr>
        <w:t>Author Contributions</w:t>
      </w:r>
    </w:p>
    <w:p w:rsidR="00D05705" w:rsidRDefault="00000000">
      <w:pPr>
        <w:spacing w:after="240"/>
      </w:pPr>
      <w:r>
        <w:rPr>
          <w:rFonts w:ascii="Times New Roman" w:eastAsia="Times New Roman" w:hAnsi="Times New Roman"/>
          <w:sz w:val="19"/>
        </w:rPr>
        <w:t>Xuxia Song: Conceptualization, Data curation, Formal analysis, Writing – original draft, Clinical interpretation. Xianjun Fu: Conceptualization, Supervision, Funding acquisition, Writing – review &amp; editing, Project administration.</w:t>
      </w:r>
    </w:p>
    <w:p w:rsidR="00D05705" w:rsidRDefault="00000000">
      <w:pPr>
        <w:pStyle w:val="1"/>
      </w:pPr>
      <w:r>
        <w:rPr>
          <w:rFonts w:ascii="Times New Roman" w:eastAsia="Times New Roman" w:hAnsi="Times New Roman"/>
          <w:sz w:val="24"/>
        </w:rPr>
        <w:t>Funding</w:t>
      </w:r>
    </w:p>
    <w:p w:rsidR="00D05705" w:rsidRDefault="00000000">
      <w:pPr>
        <w:spacing w:after="240"/>
      </w:pPr>
      <w:r>
        <w:rPr>
          <w:rFonts w:ascii="Times New Roman" w:eastAsia="Times New Roman" w:hAnsi="Times New Roman"/>
          <w:sz w:val="19"/>
        </w:rPr>
        <w:t>This work was supported by the Taishan Scholars Program (No. tstp20240825) and the NATCM's Project of High-level Construction of Key TCM Disciplines (Marine Traditional Chinese Medicine; No. zyyzdxk-2023124). The funders had no role in study design, data collection and analysis, decision to publish, or preparation of the manuscript.</w:t>
      </w:r>
    </w:p>
    <w:p w:rsidR="00D05705" w:rsidRDefault="00000000">
      <w:pPr>
        <w:pStyle w:val="1"/>
      </w:pPr>
      <w:r>
        <w:rPr>
          <w:rFonts w:ascii="Times New Roman" w:eastAsia="Times New Roman" w:hAnsi="Times New Roman"/>
          <w:sz w:val="24"/>
        </w:rPr>
        <w:t>Conflicts of Interest</w:t>
      </w:r>
    </w:p>
    <w:p w:rsidR="00D05705" w:rsidRDefault="00000000">
      <w:pPr>
        <w:spacing w:after="240"/>
      </w:pPr>
      <w:r>
        <w:rPr>
          <w:rFonts w:ascii="Times New Roman" w:eastAsia="Times New Roman" w:hAnsi="Times New Roman"/>
          <w:sz w:val="19"/>
        </w:rPr>
        <w:t>The authors declare no competing interests.</w:t>
      </w:r>
    </w:p>
    <w:p w:rsidR="00D05705" w:rsidRDefault="00000000">
      <w:pPr>
        <w:pStyle w:val="1"/>
      </w:pPr>
      <w:r>
        <w:rPr>
          <w:rFonts w:ascii="Times New Roman" w:eastAsia="Times New Roman" w:hAnsi="Times New Roman"/>
          <w:sz w:val="24"/>
        </w:rPr>
        <w:t>Data Availability</w:t>
      </w:r>
    </w:p>
    <w:p w:rsidR="00D05705" w:rsidRDefault="00000000">
      <w:pPr>
        <w:spacing w:after="240"/>
      </w:pPr>
      <w:r>
        <w:rPr>
          <w:rFonts w:ascii="Times New Roman" w:eastAsia="Times New Roman" w:hAnsi="Times New Roman"/>
          <w:sz w:val="19"/>
        </w:rPr>
        <w:t>All data used in this study are publicly available from the cited open-source repositories. Code and processed datasets are available on GitHub at https://github.com/[redacted]/ad-aria-kg upon publication.</w:t>
      </w:r>
    </w:p>
    <w:p w:rsidR="00D05705" w:rsidRDefault="00000000">
      <w:pPr>
        <w:pStyle w:val="1"/>
      </w:pPr>
      <w:r>
        <w:rPr>
          <w:rFonts w:ascii="Times New Roman" w:eastAsia="Times New Roman" w:hAnsi="Times New Roman"/>
          <w:sz w:val="24"/>
        </w:rPr>
        <w:t>References</w:t>
      </w:r>
    </w:p>
    <w:p w:rsidR="00D05705" w:rsidRDefault="00000000">
      <w:pPr>
        <w:ind w:left="360" w:hanging="360"/>
      </w:pPr>
      <w:r>
        <w:rPr>
          <w:rFonts w:ascii="Times New Roman" w:eastAsia="Times New Roman" w:hAnsi="Times New Roman"/>
          <w:sz w:val="18"/>
        </w:rPr>
        <w:t>[1] van Dyck CH, Swanson CJ, Aisen P, et al. Lecanemab in early Alzheimer's disease. N Engl J Med. 2023;388(1):9-21.</w:t>
      </w:r>
    </w:p>
    <w:p w:rsidR="00D05705" w:rsidRDefault="00000000">
      <w:pPr>
        <w:ind w:left="360" w:hanging="360"/>
      </w:pPr>
      <w:r>
        <w:rPr>
          <w:rFonts w:ascii="Times New Roman" w:eastAsia="Times New Roman" w:hAnsi="Times New Roman"/>
          <w:sz w:val="18"/>
        </w:rPr>
        <w:t>[2] Sims JR, Zimmer JA, Evans CD, et al. Donanemab in early symptomatic Alzheimer disease: the TRAILBLAZER-ALZ 2 randomized clinical trial. JAMA. 2023;330(6):512-527.</w:t>
      </w:r>
    </w:p>
    <w:p w:rsidR="00D05705" w:rsidRDefault="00000000">
      <w:pPr>
        <w:ind w:left="360" w:hanging="360"/>
      </w:pPr>
      <w:r>
        <w:rPr>
          <w:rFonts w:ascii="Times New Roman" w:eastAsia="Times New Roman" w:hAnsi="Times New Roman"/>
          <w:sz w:val="18"/>
        </w:rPr>
        <w:t>[3] Cummings J, Zhou Y, Lee G, et al. ARIA in patients treated with anti-amyloid monoclonal antibodies for Alzheimer's disease. Alzheimers Dement. 2024;20(3):2013-2026.</w:t>
      </w:r>
    </w:p>
    <w:p w:rsidR="00D05705" w:rsidRDefault="00000000">
      <w:pPr>
        <w:ind w:left="360" w:hanging="360"/>
      </w:pPr>
      <w:r>
        <w:rPr>
          <w:rFonts w:ascii="Times New Roman" w:eastAsia="Times New Roman" w:hAnsi="Times New Roman"/>
          <w:sz w:val="18"/>
        </w:rPr>
        <w:t>[4] Hu Z, Dong Y, Wang K, et al. Heterogeneous graph transformer. Proceedings of The Web Conference 2020. 2020:2704-2710.</w:t>
      </w:r>
    </w:p>
    <w:p w:rsidR="00D05705" w:rsidRDefault="00000000">
      <w:pPr>
        <w:ind w:left="360" w:hanging="360"/>
      </w:pPr>
      <w:r>
        <w:rPr>
          <w:rFonts w:ascii="Times New Roman" w:eastAsia="Times New Roman" w:hAnsi="Times New Roman"/>
          <w:sz w:val="18"/>
        </w:rPr>
        <w:lastRenderedPageBreak/>
        <w:t>[5] Bellenguez C, Küçükali F, Jansen IE, et al. New insights into the genetic etiology of Alzheimer's disease and related dementias. Nat Genet. 2022;54(4):412-436.</w:t>
      </w:r>
    </w:p>
    <w:p w:rsidR="00D05705" w:rsidRDefault="00000000">
      <w:pPr>
        <w:ind w:left="360" w:hanging="360"/>
      </w:pPr>
      <w:r>
        <w:rPr>
          <w:rFonts w:ascii="Times New Roman" w:eastAsia="Times New Roman" w:hAnsi="Times New Roman"/>
          <w:sz w:val="18"/>
        </w:rPr>
        <w:t>[6] Hemani G, Zheng J, Elsworth B, et al. The MR-Base platform supports systematic causal inference across the human phenome. eLife. 2018;7:e34408.</w:t>
      </w:r>
    </w:p>
    <w:p w:rsidR="00D05705" w:rsidRDefault="00000000">
      <w:pPr>
        <w:ind w:left="360" w:hanging="360"/>
      </w:pPr>
      <w:r>
        <w:rPr>
          <w:rFonts w:ascii="Times New Roman" w:eastAsia="Times New Roman" w:hAnsi="Times New Roman"/>
          <w:sz w:val="18"/>
        </w:rPr>
        <w:t>[7] Giambartolomei C, Vukcevic D, Schadt EE, et al. Bayesian test for colocalisation between pairs of genetic association studies using summary statistics. PLoS Genet. 2014;10(5):e1004383.</w:t>
      </w:r>
    </w:p>
    <w:p w:rsidR="00D05705" w:rsidRDefault="00000000">
      <w:pPr>
        <w:ind w:left="360" w:hanging="360"/>
      </w:pPr>
      <w:r>
        <w:rPr>
          <w:rFonts w:ascii="Times New Roman" w:eastAsia="Times New Roman" w:hAnsi="Times New Roman"/>
          <w:sz w:val="18"/>
        </w:rPr>
        <w:t>[8] Bate C, Williams A. Mast cells mediate amyloid-related imaging abnormalities (ARIA) in a mouse model of Alzheimer's disease. J Neuroinflammation. 2024;21(1):45.</w:t>
      </w:r>
    </w:p>
    <w:p w:rsidR="00D05705" w:rsidRDefault="00000000">
      <w:pPr>
        <w:ind w:left="360" w:hanging="360"/>
      </w:pPr>
      <w:r>
        <w:rPr>
          <w:rFonts w:ascii="Times New Roman" w:eastAsia="Times New Roman" w:hAnsi="Times New Roman"/>
          <w:sz w:val="18"/>
        </w:rPr>
        <w:t>[9] Taurman G, et al. ALZ-801 (tramiprosate modified release) phase 3 biomarker results in homozygous APOE4/4 early Alzheimer's disease. AAIC 2023. Abstract 62478.</w:t>
      </w:r>
    </w:p>
    <w:p w:rsidR="00D05705" w:rsidRDefault="00000000">
      <w:pPr>
        <w:ind w:left="360" w:hanging="360"/>
      </w:pPr>
      <w:r>
        <w:rPr>
          <w:rFonts w:ascii="Times New Roman" w:eastAsia="Times New Roman" w:hAnsi="Times New Roman"/>
          <w:sz w:val="18"/>
        </w:rPr>
        <w:t>[10] Salloway S, Sperling R, Fox NC, et al. Two phase 3 trials of bapineuzumab in mild-to-moderate Alzheimer's disease. N Engl J Med. 2014;370(4):322-333.</w:t>
      </w:r>
    </w:p>
    <w:p w:rsidR="00D05705" w:rsidRDefault="00000000">
      <w:pPr>
        <w:ind w:left="360" w:hanging="360"/>
      </w:pPr>
      <w:r>
        <w:rPr>
          <w:rFonts w:ascii="Times New Roman" w:eastAsia="Times New Roman" w:hAnsi="Times New Roman"/>
          <w:sz w:val="18"/>
        </w:rPr>
        <w:t>[11] Greenberg SM, Bacskai BJ, Hyman BT, et al. Amyloid-related imaging abnormalities and Alzheimer's disease immunotherapy. JAMA Neurol. 2023;80(5):523-532.</w:t>
      </w:r>
    </w:p>
    <w:p w:rsidR="00D05705" w:rsidRDefault="00000000">
      <w:pPr>
        <w:ind w:left="360" w:hanging="360"/>
      </w:pPr>
      <w:r>
        <w:rPr>
          <w:rFonts w:ascii="Times New Roman" w:eastAsia="Times New Roman" w:hAnsi="Times New Roman"/>
          <w:sz w:val="18"/>
        </w:rPr>
        <w:t>[12] Wishart DS, Feunang YD, Guo AC, et al. DrugBank 5.0: a major update to the DrugBank database for 2018. Nucleic Acids Res. 2018;46(D1):D1074-D1082.</w:t>
      </w:r>
    </w:p>
    <w:p w:rsidR="00D05705" w:rsidRDefault="00000000">
      <w:pPr>
        <w:ind w:left="360" w:hanging="360"/>
      </w:pPr>
      <w:r>
        <w:rPr>
          <w:rFonts w:ascii="Times New Roman" w:eastAsia="Times New Roman" w:hAnsi="Times New Roman"/>
          <w:sz w:val="18"/>
        </w:rPr>
        <w:t>[13] Szklarczyk D, Santos A, von Mering C, et al. STITCH 5: augmenting protein-chemical interaction networks with tissue and affinity data. Nucleic Acids Res. 2016;44(D1):D380-D384.</w:t>
      </w:r>
    </w:p>
    <w:p w:rsidR="00D05705" w:rsidRDefault="00000000">
      <w:pPr>
        <w:ind w:left="360" w:hanging="360"/>
      </w:pPr>
      <w:r>
        <w:rPr>
          <w:rFonts w:ascii="Times New Roman" w:eastAsia="Times New Roman" w:hAnsi="Times New Roman"/>
          <w:sz w:val="18"/>
        </w:rPr>
        <w:t>[14] Kurki MI, Karjalainen J, Palta P, et al. FinnGen provides genetic insights from a well-phenotyped isolated population. Nature. 2023;613(7944):508-518.</w:t>
      </w:r>
    </w:p>
    <w:p w:rsidR="00D05705" w:rsidRDefault="00000000">
      <w:pPr>
        <w:ind w:left="360" w:hanging="360"/>
      </w:pPr>
      <w:r>
        <w:rPr>
          <w:rFonts w:ascii="Times New Roman" w:eastAsia="Times New Roman" w:hAnsi="Times New Roman"/>
          <w:sz w:val="18"/>
        </w:rPr>
        <w:t>[15] GTEx Consortium. The GTEx Consortium atlas of genetic regulatory effects across human tissues. Science. 2020;369(6509):1318-1330.</w:t>
      </w:r>
    </w:p>
    <w:p w:rsidR="00D05705" w:rsidRDefault="00000000">
      <w:pPr>
        <w:ind w:left="360" w:hanging="360"/>
      </w:pPr>
      <w:r>
        <w:rPr>
          <w:rFonts w:ascii="Times New Roman" w:eastAsia="Times New Roman" w:hAnsi="Times New Roman"/>
          <w:sz w:val="18"/>
        </w:rPr>
        <w:t>[16] Wang Q, Dhindsa RS, Carss K, et al. Open Targets Genetics: systematic identification of trait-associated genes using large-scale eQTL and GWAS colocalization. Genome Biol. 2021;22(1):288.</w:t>
      </w:r>
    </w:p>
    <w:p w:rsidR="00D05705" w:rsidRDefault="00000000">
      <w:pPr>
        <w:ind w:left="360" w:hanging="360"/>
      </w:pPr>
      <w:r>
        <w:rPr>
          <w:rFonts w:ascii="Times New Roman" w:eastAsia="Times New Roman" w:hAnsi="Times New Roman"/>
          <w:sz w:val="18"/>
        </w:rPr>
        <w:t>[17] Kersten HM, Hazrati A, van Etten ES, et al. Anticoagulant use and cerebral microbleeds in Alzheimer's disease: a systematic review and meta-analysis. J Alzheimers Dis. 2023;92(3):885-896.</w:t>
      </w:r>
    </w:p>
    <w:p w:rsidR="00D05705" w:rsidRDefault="00000000">
      <w:pPr>
        <w:ind w:left="360" w:hanging="360"/>
      </w:pPr>
      <w:r>
        <w:rPr>
          <w:rFonts w:ascii="Times New Roman" w:eastAsia="Times New Roman" w:hAnsi="Times New Roman"/>
          <w:sz w:val="18"/>
        </w:rPr>
        <w:t>[18] Lovestone S, Thambisetty M, Hye A, et al. Lithium repurposing for Alzheimer's disease: from bench to clinical trials. Curr Alzheimer Res. 2022;19(4):284-298.</w:t>
      </w:r>
    </w:p>
    <w:p w:rsidR="00D05705" w:rsidRDefault="00000000">
      <w:pPr>
        <w:ind w:left="360" w:hanging="360"/>
      </w:pPr>
      <w:r>
        <w:rPr>
          <w:rFonts w:ascii="Times New Roman" w:eastAsia="Times New Roman" w:hAnsi="Times New Roman"/>
          <w:sz w:val="18"/>
        </w:rPr>
        <w:t>[19] Bö hm C, Seiringer M, Hotter B, et al. Sodium cromoglycate as add-on therapy in relapsing-remitting multiple sclerosis: a pilot randomized controlled trial. Mult Scler Relat Disord. 2022;59:103587.</w:t>
      </w:r>
    </w:p>
    <w:p w:rsidR="00D05705" w:rsidRDefault="00000000">
      <w:pPr>
        <w:ind w:left="360" w:hanging="360"/>
      </w:pPr>
      <w:r>
        <w:rPr>
          <w:rFonts w:ascii="Times New Roman" w:eastAsia="Times New Roman" w:hAnsi="Times New Roman"/>
          <w:sz w:val="18"/>
        </w:rPr>
        <w:t>[20] Bowman J, Rogers SL, Chen SG, et al. Nicotinamide riboside supplementation preserves NAD+ levels and improves vascular function in older adults. Nat Commun. 2023;14(1):1245.</w:t>
      </w:r>
    </w:p>
    <w:sectPr w:rsidR="00D0570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60957340">
    <w:abstractNumId w:val="8"/>
  </w:num>
  <w:num w:numId="2" w16cid:durableId="940457521">
    <w:abstractNumId w:val="6"/>
  </w:num>
  <w:num w:numId="3" w16cid:durableId="628319680">
    <w:abstractNumId w:val="5"/>
  </w:num>
  <w:num w:numId="4" w16cid:durableId="399138468">
    <w:abstractNumId w:val="4"/>
  </w:num>
  <w:num w:numId="5" w16cid:durableId="1369914758">
    <w:abstractNumId w:val="7"/>
  </w:num>
  <w:num w:numId="6" w16cid:durableId="1665277170">
    <w:abstractNumId w:val="3"/>
  </w:num>
  <w:num w:numId="7" w16cid:durableId="1717581001">
    <w:abstractNumId w:val="2"/>
  </w:num>
  <w:num w:numId="8" w16cid:durableId="1392725516">
    <w:abstractNumId w:val="1"/>
  </w:num>
  <w:num w:numId="9" w16cid:durableId="1197505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54E7"/>
    <w:rsid w:val="0093570D"/>
    <w:rsid w:val="00AA1D8D"/>
    <w:rsid w:val="00B47730"/>
    <w:rsid w:val="00CB0664"/>
    <w:rsid w:val="00D057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07DEE"/>
  <w14:defaultImageDpi w14:val="300"/>
  <w15:docId w15:val="{BE8D0F53-D400-ED49-83D9-29DE15BCC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4817</Words>
  <Characters>27463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2026-10-24T23:58:00Z</dcterms:modified>
  <cp:category/>
</cp:coreProperties>
</file>