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rFonts w:ascii="Aptos" w:hAnsi="Aptos" w:eastAsia="Microsoft YaHei"/>
          <w:b/>
          <w:sz w:val="56"/>
        </w:rPr>
        <w:t>御网智元测试与评测报告</w:t>
      </w:r>
    </w:p>
    <w:p>
      <w:pPr>
        <w:jc w:val="center"/>
      </w:pPr>
      <w:r>
        <w:rPr>
          <w:rFonts w:ascii="Aptos" w:hAnsi="Aptos" w:eastAsia="Microsoft YaHei"/>
          <w:sz w:val="28"/>
        </w:rPr>
        <w:t>质量门禁、通用评测与可复现证据</w:t>
        <w:br/>
        <w:t>版本日期：2026-08-29</w:t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</w:rPr>
        <w:t>测试与评测报告</w:t>
      </w:r>
    </w:p>
    <w:p/>
    <w:p>
      <w:r>
        <w:rPr>
          <w:rFonts w:ascii="Aptos" w:hAnsi="Aptos" w:eastAsia="Microsoft YaHei"/>
        </w:rPr>
        <w:t>基线（2026-08-29）：后端覆盖率门槛为 85%。真实 Provider 测试默认跳过，未生成伪造成绩。上传类型一致性、资源限制、工具契约、运行恢复和通用评测均有单元或 API 测试。</w:t>
      </w:r>
    </w:p>
    <w:p/>
    <w:p>
      <w:r>
        <w:rPr>
          <w:rFonts w:ascii="Aptos" w:hAnsi="Aptos" w:eastAsia="Microsoft YaHei"/>
        </w:rPr>
        <w:t>统一运行和展示入口为默认工作台 http://127.0.0.1:8080/。通用评测通过 python -m yuwang.evaluation run --case &lt;case&gt; --provider-id &lt;UUID&gt; --attempts 3 执行，统计 API 输出首次尝试成功率、前三次至少一次成功率、耗时、Token、工具调用、重规划、人工介入和失败分类。正式材料只引用可随提交包核验的脱敏记录；缺少可公开记录的历史运行不作为初审成绩主张。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sz w:val="16"/>
      </w:rPr>
      <w:t>御网智元 | 初审提交材料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