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/>
        <w:jc w:val="center"/>
      </w:pPr>
      <w:r>
        <w:rPr>
          <w:rFonts w:ascii="Aptos" w:hAnsi="Aptos" w:eastAsia="Microsoft YaHei"/>
          <w:b/>
          <w:sz w:val="56"/>
        </w:rPr>
        <w:t>御网智元方案设计文档</w:t>
      </w:r>
    </w:p>
    <w:p>
      <w:pPr>
        <w:jc w:val="center"/>
      </w:pPr>
      <w:r>
        <w:rPr>
          <w:rFonts w:ascii="Aptos" w:hAnsi="Aptos" w:eastAsia="Microsoft YaHei"/>
          <w:sz w:val="28"/>
        </w:rPr>
        <w:t>自主决策安全智能体的场景、流程与验证设计</w:t>
        <w:br/>
        <w:t>版本日期：2026-09-03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御网智元方案设计文档</w:t>
      </w:r>
    </w:p>
    <w:p/>
    <w:p>
      <w:pPr>
        <w:pStyle w:val="Heading2"/>
      </w:pPr>
      <w:r>
        <w:rPr>
          <w:rFonts w:ascii="Aptos" w:hAnsi="Aptos" w:eastAsia="Microsoft YaHei"/>
        </w:rPr>
        <w:t>1. 设计原则</w:t>
      </w:r>
    </w:p>
    <w:p/>
    <w:p>
      <w:r>
        <w:rPr>
          <w:rFonts w:ascii="Aptos" w:hAnsi="Aptos" w:eastAsia="Microsoft YaHei"/>
        </w:rPr>
        <w:t>方案以“自主但受控、可解释且可复现、结果必须有证据”为三条主线。模型可以提出计划和候选行动，但不能自行扩大授权、绕过工具策略或宣布未经验证的结论。</w:t>
      </w:r>
    </w:p>
    <w:p/>
    <w:p>
      <w:pPr>
        <w:pStyle w:val="Heading2"/>
      </w:pPr>
      <w:r>
        <w:rPr>
          <w:rFonts w:ascii="Aptos" w:hAnsi="Aptos" w:eastAsia="Microsoft YaHei"/>
        </w:rPr>
        <w:t>2. 场景设计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场景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输入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主要工具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交付结果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CTF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题目文本、附件、本机靶场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文件、编码、哈希、Flag、localhost HTTP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线索链、候选结果、验证边界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应急响应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日志、流量、IOC 材料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IOC、时间线、PCAP、内容搜索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事件时间线、指标和处置建议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漏洞分析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源码、接口说明、响应材料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Web 证据、源码模式、HTTP 只读分析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风险判断、复现步骤和修复建议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静态逆向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字符串、二进制元数据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字符串、文件、静态元数据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结构线索和下一步分析计划</w:t>
            </w:r>
          </w:p>
        </w:tc>
      </w:tr>
    </w:tbl>
    <w:p>
      <w:pPr>
        <w:spacing w:after="40"/>
      </w:pPr>
    </w:p>
    <w:p/>
    <w:p>
      <w:pPr>
        <w:pStyle w:val="Heading2"/>
      </w:pPr>
      <w:r>
        <w:rPr>
          <w:rFonts w:ascii="Aptos" w:hAnsi="Aptos" w:eastAsia="Microsoft YaHei"/>
        </w:rPr>
        <w:t>3. 自主决策设计</w:t>
      </w:r>
    </w:p>
    <w:p/>
    <w:p>
      <w:r>
        <w:rPr>
          <w:rFonts w:ascii="Aptos" w:hAnsi="Aptos" w:eastAsia="Microsoft YaHei"/>
        </w:rPr>
        <w:t>任务开始先生成 Task Brief，再生成计划。每个计划步骤必须有目标、理由、预期结果和验证方法。执行后只将结构化工具观察回传给模型；当工具失败、路径无进展、证据不足或出现新线索时，Agent 选择重规划、请求补充信息或安全结束。</w:t>
      </w:r>
    </w:p>
    <w:p/>
    <w:p>
      <w:pPr>
        <w:pStyle w:val="Heading2"/>
      </w:pPr>
      <w:r>
        <w:rPr>
          <w:rFonts w:ascii="Aptos" w:hAnsi="Aptos" w:eastAsia="Microsoft YaHei"/>
        </w:rPr>
        <w:t>4. 人机协同设计</w:t>
      </w:r>
    </w:p>
    <w:p/>
    <w:p>
      <w:r>
        <w:rPr>
          <w:rFonts w:ascii="Aptos" w:hAnsi="Aptos" w:eastAsia="Microsoft YaHei"/>
        </w:rPr>
        <w:t>用户可以在运行中追加指引、暂停、继续、停止或从检查点恢复。高风险动作需要审批；当前默认工具以离线分析和授权 localhost 只读探测为主。人机交接摘要会列出已验证结果、未验证候选、当前阻塞和建议接手动作。</w:t>
      </w:r>
    </w:p>
    <w:p/>
    <w:p>
      <w:pPr>
        <w:pStyle w:val="Heading2"/>
      </w:pPr>
      <w:r>
        <w:rPr>
          <w:rFonts w:ascii="Aptos" w:hAnsi="Aptos" w:eastAsia="Microsoft YaHei"/>
        </w:rPr>
        <w:t>5. 结果设计</w:t>
      </w:r>
    </w:p>
    <w:p/>
    <w:p>
      <w:r>
        <w:rPr>
          <w:rFonts w:ascii="Aptos" w:hAnsi="Aptos" w:eastAsia="Microsoft YaHei"/>
        </w:rPr>
        <w:t>模型输出只包含结果类型、标题、摘要、结构化数据、证据候选和置信度。服务端从当前 Run 绑定真实 ToolCall、Artifact 或 EvidenceRecord，并独立写入验证状态。报告、前端结果卡、评测和轨迹回放都读取同一份持久化结果。</w:t>
      </w:r>
    </w:p>
    <w:p/>
    <w:p>
      <w:pPr>
        <w:pStyle w:val="Heading2"/>
      </w:pPr>
      <w:r>
        <w:rPr>
          <w:rFonts w:ascii="Aptos" w:hAnsi="Aptos" w:eastAsia="Microsoft YaHei"/>
        </w:rPr>
        <w:t>6. 评测设计</w:t>
      </w:r>
    </w:p>
    <w:p/>
    <w:p>
      <w:r>
        <w:rPr>
          <w:rFonts w:ascii="Aptos" w:hAnsi="Aptos" w:eastAsia="Microsoft YaHei"/>
        </w:rPr>
        <w:t>本地评测将输入、允许工具、授权范围、预算、结构化结果 Schema 和私有 Judge 分离。评测检查工具是否调用、证据是否来自正确工具、是否越权、是否超预算以及结构化结果是否正确，不把非空文本或模型自述当作成绩。</w:t>
      </w:r>
    </w:p>
    <w:p/>
    <w:p>
      <w:pPr>
        <w:pStyle w:val="Heading2"/>
      </w:pPr>
      <w:r>
        <w:rPr>
          <w:rFonts w:ascii="Aptos" w:hAnsi="Aptos" w:eastAsia="Microsoft YaHei"/>
        </w:rPr>
        <w:t>7. 终审适配</w:t>
      </w:r>
    </w:p>
    <w:p/>
    <w:p>
      <w:r>
        <w:rPr>
          <w:rFonts w:ascii="Aptos" w:hAnsi="Aptos" w:eastAsia="Microsoft YaHei"/>
        </w:rPr>
        <w:t>主办方决赛平台开放后，优先替换 Provider 网关、目标授权适配器和外部结果提交接口；现有 Run、ToolSpec、Evidence、轨迹和评测接口保持不变。当前版本不虚构尚未提供的平台能力。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御网智元 | 初审提交材料 |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