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001" w:rsidRDefault="00D15001" w:rsidP="00D15001">
      <w:pPr>
        <w:jc w:val="center"/>
        <w:rPr>
          <w:rFonts w:ascii="楷体_GB2312" w:eastAsia="楷体_GB2312"/>
          <w:b/>
          <w:sz w:val="44"/>
          <w:szCs w:val="44"/>
        </w:rPr>
      </w:pPr>
    </w:p>
    <w:p w:rsidR="00F466DD" w:rsidRPr="00E13CF2" w:rsidRDefault="00F466DD" w:rsidP="00E13CF2">
      <w:pPr>
        <w:spacing w:line="480" w:lineRule="auto"/>
        <w:ind w:firstLineChars="940" w:firstLine="3020"/>
        <w:jc w:val="left"/>
        <w:rPr>
          <w:rFonts w:asciiTheme="minorEastAsia" w:eastAsiaTheme="minorEastAsia" w:hAnsiTheme="minorEastAsia"/>
          <w:b/>
          <w:sz w:val="32"/>
          <w:szCs w:val="32"/>
        </w:rPr>
      </w:pPr>
      <w:r w:rsidRPr="00E13CF2">
        <w:rPr>
          <w:rFonts w:asciiTheme="minorEastAsia" w:eastAsiaTheme="minorEastAsia" w:hAnsiTheme="minorEastAsia" w:hint="eastAsia"/>
          <w:b/>
          <w:sz w:val="32"/>
          <w:szCs w:val="32"/>
        </w:rPr>
        <w:t>恒嘉租赁简介</w:t>
      </w:r>
    </w:p>
    <w:p w:rsidR="00F466DD" w:rsidRPr="00E13CF2" w:rsidRDefault="00F466DD" w:rsidP="00E13CF2">
      <w:pPr>
        <w:spacing w:line="480" w:lineRule="auto"/>
        <w:ind w:firstLineChars="195" w:firstLine="548"/>
        <w:jc w:val="left"/>
        <w:rPr>
          <w:rFonts w:asciiTheme="minorEastAsia" w:eastAsiaTheme="minorEastAsia" w:hAnsiTheme="minorEastAsia" w:cs="宋体"/>
          <w:b/>
          <w:sz w:val="28"/>
          <w:szCs w:val="28"/>
        </w:rPr>
      </w:pPr>
    </w:p>
    <w:p w:rsidR="00E13CF2" w:rsidRPr="00E13CF2" w:rsidRDefault="00F466DD" w:rsidP="00E13CF2">
      <w:pPr>
        <w:pStyle w:val="a6"/>
        <w:numPr>
          <w:ilvl w:val="0"/>
          <w:numId w:val="5"/>
        </w:numPr>
        <w:spacing w:line="480" w:lineRule="auto"/>
        <w:ind w:firstLineChars="0"/>
        <w:jc w:val="left"/>
        <w:rPr>
          <w:rFonts w:asciiTheme="minorEastAsia" w:eastAsiaTheme="minorEastAsia" w:hAnsiTheme="minorEastAsia" w:cs="宋体"/>
          <w:b/>
          <w:sz w:val="28"/>
          <w:szCs w:val="28"/>
        </w:rPr>
      </w:pPr>
      <w:r w:rsidRPr="00E13CF2">
        <w:rPr>
          <w:rFonts w:asciiTheme="minorEastAsia" w:eastAsiaTheme="minorEastAsia" w:hAnsiTheme="minorEastAsia" w:cs="宋体" w:hint="eastAsia"/>
          <w:b/>
          <w:sz w:val="28"/>
          <w:szCs w:val="28"/>
        </w:rPr>
        <w:t>经营概况</w:t>
      </w:r>
    </w:p>
    <w:p w:rsidR="00F466DD" w:rsidRPr="00E13CF2" w:rsidRDefault="00F466DD" w:rsidP="00E13CF2">
      <w:pPr>
        <w:spacing w:line="480" w:lineRule="auto"/>
        <w:ind w:left="545"/>
        <w:jc w:val="left"/>
        <w:rPr>
          <w:rFonts w:asciiTheme="minorEastAsia" w:eastAsiaTheme="minorEastAsia" w:hAnsiTheme="minorEastAsia" w:cs="宋体"/>
          <w:b/>
          <w:sz w:val="28"/>
          <w:szCs w:val="28"/>
        </w:rPr>
      </w:pPr>
      <w:r w:rsidRPr="00E13CF2">
        <w:rPr>
          <w:rFonts w:asciiTheme="minorEastAsia" w:eastAsiaTheme="minorEastAsia" w:hAnsiTheme="minorEastAsia" w:hint="eastAsia"/>
          <w:sz w:val="28"/>
          <w:szCs w:val="28"/>
        </w:rPr>
        <w:t>恒嘉租赁成立于2010年4月，总部位于北京市西城区金融街，</w:t>
      </w:r>
    </w:p>
    <w:p w:rsidR="00F466DD" w:rsidRPr="00E13CF2" w:rsidRDefault="00F466DD" w:rsidP="00F466DD">
      <w:pPr>
        <w:spacing w:line="480" w:lineRule="auto"/>
        <w:jc w:val="left"/>
        <w:rPr>
          <w:rFonts w:asciiTheme="minorEastAsia" w:eastAsiaTheme="minorEastAsia" w:hAnsiTheme="minorEastAsia"/>
          <w:sz w:val="28"/>
          <w:szCs w:val="28"/>
        </w:rPr>
      </w:pPr>
      <w:r w:rsidRPr="00E13CF2">
        <w:rPr>
          <w:rFonts w:asciiTheme="minorEastAsia" w:eastAsiaTheme="minorEastAsia" w:hAnsiTheme="minorEastAsia" w:hint="eastAsia"/>
          <w:sz w:val="28"/>
          <w:szCs w:val="28"/>
        </w:rPr>
        <w:t>在上海、天津、郑州、太原等地设有机构。主要投资方为中国恒嘉融资租赁集团公司（股票代码：379.HK</w:t>
      </w:r>
      <w:r w:rsidR="0038737D">
        <w:rPr>
          <w:rFonts w:asciiTheme="minorEastAsia" w:eastAsiaTheme="minorEastAsia" w:hAnsiTheme="minorEastAsia" w:hint="eastAsia"/>
          <w:sz w:val="28"/>
          <w:szCs w:val="28"/>
        </w:rPr>
        <w:t>），是第一</w:t>
      </w:r>
      <w:r w:rsidRPr="00E13CF2">
        <w:rPr>
          <w:rFonts w:asciiTheme="minorEastAsia" w:eastAsiaTheme="minorEastAsia" w:hAnsiTheme="minorEastAsia" w:hint="eastAsia"/>
          <w:sz w:val="28"/>
          <w:szCs w:val="28"/>
        </w:rPr>
        <w:t>家在香港联交所主</w:t>
      </w:r>
      <w:r w:rsidR="00E13CF2" w:rsidRPr="00E13CF2">
        <w:rPr>
          <w:rFonts w:asciiTheme="minorEastAsia" w:eastAsiaTheme="minorEastAsia" w:hAnsiTheme="minorEastAsia" w:hint="eastAsia"/>
          <w:sz w:val="28"/>
          <w:szCs w:val="28"/>
        </w:rPr>
        <w:t>板上市的民营融资租赁公司</w:t>
      </w:r>
      <w:r w:rsidRPr="00E13CF2">
        <w:rPr>
          <w:rFonts w:asciiTheme="minorEastAsia" w:eastAsiaTheme="minorEastAsia" w:hAnsiTheme="minorEastAsia" w:hint="eastAsia"/>
          <w:sz w:val="28"/>
          <w:szCs w:val="28"/>
        </w:rPr>
        <w:t>。恒嘉租赁股东背景强大，资本实力雄厚，发展战略清晰，经营团队资深，运营管理高效，品牌信誉卓著。恒嘉租赁自成立以来累计投放资金约300亿元，已发展成为国内一流的融资租赁公司。</w:t>
      </w:r>
    </w:p>
    <w:p w:rsidR="00F466DD" w:rsidRPr="00E13CF2" w:rsidRDefault="00F466DD" w:rsidP="00F466DD">
      <w:pPr>
        <w:spacing w:line="480" w:lineRule="auto"/>
        <w:ind w:firstLineChars="200" w:firstLine="560"/>
        <w:jc w:val="left"/>
        <w:rPr>
          <w:rFonts w:asciiTheme="minorEastAsia" w:eastAsiaTheme="minorEastAsia" w:hAnsiTheme="minorEastAsia" w:cs="宋体"/>
          <w:b/>
          <w:sz w:val="28"/>
          <w:szCs w:val="28"/>
        </w:rPr>
      </w:pPr>
      <w:r w:rsidRPr="00E13CF2">
        <w:rPr>
          <w:rFonts w:asciiTheme="minorEastAsia" w:eastAsiaTheme="minorEastAsia" w:hAnsiTheme="minorEastAsia" w:hint="eastAsia"/>
          <w:sz w:val="28"/>
          <w:szCs w:val="28"/>
        </w:rPr>
        <w:t>恒嘉租赁坚持“卓越服务、以德为先、创新发展、稳健经营”的理念，依托股东优势资源和团队专业素质，利用融资租赁结构融资优势，创新企业融资模式，拓宽企业融资渠道，构建起面向实体经济的综合金融服务平台。</w:t>
      </w:r>
    </w:p>
    <w:p w:rsidR="00F466DD" w:rsidRPr="00E13CF2" w:rsidRDefault="00F466DD" w:rsidP="00F466DD">
      <w:pPr>
        <w:spacing w:line="480" w:lineRule="auto"/>
        <w:ind w:firstLineChars="195" w:firstLine="546"/>
        <w:jc w:val="left"/>
        <w:rPr>
          <w:rFonts w:asciiTheme="minorEastAsia" w:eastAsiaTheme="minorEastAsia" w:hAnsiTheme="minorEastAsia" w:cs="宋体"/>
          <w:b/>
          <w:sz w:val="28"/>
          <w:szCs w:val="28"/>
        </w:rPr>
      </w:pPr>
      <w:r w:rsidRPr="00E13CF2">
        <w:rPr>
          <w:rFonts w:asciiTheme="minorEastAsia" w:eastAsiaTheme="minorEastAsia" w:hAnsiTheme="minorEastAsia" w:hint="eastAsia"/>
          <w:sz w:val="28"/>
          <w:szCs w:val="28"/>
        </w:rPr>
        <w:t>恒嘉租赁主要</w:t>
      </w:r>
      <w:r w:rsidRPr="00E13CF2">
        <w:rPr>
          <w:rFonts w:asciiTheme="minorEastAsia" w:eastAsiaTheme="minorEastAsia" w:hAnsiTheme="minorEastAsia" w:hint="eastAsia"/>
          <w:bCs/>
          <w:sz w:val="28"/>
          <w:szCs w:val="28"/>
        </w:rPr>
        <w:t>业务涵盖能源、电力、医疗、基础设施等多个行业，核心客户包括神华集团、中国华电集团、中国国电集团、中国恒天集团、河北开滦集团、河南能源化工集团、山西潞安环能集团、河南投资集团、山西晋煤集团、天津港集团、长春城市开发（集团）有限公司、北京华联集团等多家世界500强企业和优秀上市公司</w:t>
      </w:r>
      <w:r w:rsidRPr="00E13CF2">
        <w:rPr>
          <w:rFonts w:asciiTheme="minorEastAsia" w:eastAsiaTheme="minorEastAsia" w:hAnsiTheme="minorEastAsia" w:hint="eastAsia"/>
          <w:sz w:val="28"/>
          <w:szCs w:val="28"/>
        </w:rPr>
        <w:t>。</w:t>
      </w:r>
    </w:p>
    <w:p w:rsidR="00E13CF2" w:rsidRDefault="00F466DD" w:rsidP="00E13CF2">
      <w:pPr>
        <w:spacing w:line="480" w:lineRule="auto"/>
        <w:ind w:firstLineChars="195" w:firstLine="546"/>
        <w:jc w:val="left"/>
        <w:rPr>
          <w:rFonts w:asciiTheme="minorEastAsia" w:eastAsiaTheme="minorEastAsia" w:hAnsiTheme="minorEastAsia"/>
          <w:sz w:val="28"/>
          <w:szCs w:val="28"/>
        </w:rPr>
      </w:pPr>
      <w:r w:rsidRPr="00E13CF2">
        <w:rPr>
          <w:rFonts w:asciiTheme="minorEastAsia" w:eastAsiaTheme="minorEastAsia" w:hAnsiTheme="minorEastAsia" w:hint="eastAsia"/>
          <w:sz w:val="28"/>
          <w:szCs w:val="28"/>
        </w:rPr>
        <w:t>恒嘉租赁培育了覆盖全员的风险文化，建立了独立完备且有效制衡的风险治理体系。在风险管理方面，探索出一套行之有效的机制和</w:t>
      </w:r>
      <w:r w:rsidRPr="00E13CF2">
        <w:rPr>
          <w:rFonts w:asciiTheme="minorEastAsia" w:eastAsiaTheme="minorEastAsia" w:hAnsiTheme="minorEastAsia" w:hint="eastAsia"/>
          <w:sz w:val="28"/>
          <w:szCs w:val="28"/>
        </w:rPr>
        <w:lastRenderedPageBreak/>
        <w:t>方法，保持了已投放项目零逾期的良好记录，被中国银行、中国工商银行、中国建设银行评为AA+级企业。</w:t>
      </w:r>
    </w:p>
    <w:p w:rsidR="00E13CF2" w:rsidRDefault="00F466DD" w:rsidP="00E13CF2">
      <w:pPr>
        <w:spacing w:line="480" w:lineRule="auto"/>
        <w:ind w:firstLineChars="195" w:firstLine="546"/>
        <w:jc w:val="left"/>
        <w:rPr>
          <w:rFonts w:asciiTheme="minorEastAsia" w:eastAsiaTheme="minorEastAsia" w:hAnsiTheme="minorEastAsia"/>
          <w:sz w:val="28"/>
          <w:szCs w:val="28"/>
        </w:rPr>
      </w:pPr>
      <w:r w:rsidRPr="00E13CF2">
        <w:rPr>
          <w:rFonts w:asciiTheme="minorEastAsia" w:eastAsiaTheme="minorEastAsia" w:hAnsiTheme="minorEastAsia" w:hint="eastAsia"/>
          <w:sz w:val="28"/>
          <w:szCs w:val="28"/>
        </w:rPr>
        <w:t>恒嘉租赁与中国银行、中国建设银行、中国工商银行、中信银行等国内主要商业银行建立了长期稳定的合作关系。截止目前，恒嘉租赁与银行的租赁保理业务合作规模已超过200亿元</w:t>
      </w:r>
      <w:r w:rsidR="00E13CF2" w:rsidRPr="00E13CF2">
        <w:rPr>
          <w:rFonts w:asciiTheme="minorEastAsia" w:eastAsiaTheme="minorEastAsia" w:hAnsiTheme="minorEastAsia" w:hint="eastAsia"/>
          <w:sz w:val="28"/>
          <w:szCs w:val="28"/>
        </w:rPr>
        <w:t>人民币</w:t>
      </w:r>
      <w:r w:rsidRPr="00E13CF2">
        <w:rPr>
          <w:rFonts w:asciiTheme="minorEastAsia" w:eastAsiaTheme="minorEastAsia" w:hAnsiTheme="minorEastAsia" w:hint="eastAsia"/>
          <w:sz w:val="28"/>
          <w:szCs w:val="28"/>
        </w:rPr>
        <w:t>。</w:t>
      </w:r>
    </w:p>
    <w:p w:rsidR="00E13CF2" w:rsidRDefault="00F466DD" w:rsidP="00E13CF2">
      <w:pPr>
        <w:spacing w:line="480" w:lineRule="auto"/>
        <w:ind w:firstLineChars="195" w:firstLine="546"/>
        <w:jc w:val="left"/>
        <w:rPr>
          <w:rFonts w:asciiTheme="minorEastAsia" w:eastAsiaTheme="minorEastAsia" w:hAnsiTheme="minorEastAsia"/>
          <w:bCs/>
          <w:sz w:val="28"/>
          <w:szCs w:val="28"/>
        </w:rPr>
      </w:pPr>
      <w:r w:rsidRPr="00E13CF2">
        <w:rPr>
          <w:rFonts w:asciiTheme="minorEastAsia" w:eastAsiaTheme="minorEastAsia" w:hAnsiTheme="minorEastAsia" w:hint="eastAsia"/>
          <w:sz w:val="28"/>
          <w:szCs w:val="28"/>
        </w:rPr>
        <w:t>恒嘉租赁引领行业创新步伐，开创了租赁资产对接保险资金之先河，率先研发租赁收益权信托产品，牵头发行规模达30亿元的资管产品，创行业SOT模式单笔融资规模之最。2012年被授予“中国融资租赁新生力量奖”、“中国融资租赁行业客户满意金典奖”；2013年被授予“中国融资租赁行业开拓创新奖”、“中国金融机构金牌榜·金龙奖”；2014年当选为中国融资租赁研究院副理事长单位，被北京市租赁协会授予“融资租赁优秀企业”称号；</w:t>
      </w:r>
      <w:r w:rsidRPr="00E13CF2">
        <w:rPr>
          <w:rFonts w:asciiTheme="minorEastAsia" w:eastAsiaTheme="minorEastAsia" w:hAnsiTheme="minorEastAsia" w:hint="eastAsia"/>
          <w:bCs/>
          <w:sz w:val="28"/>
          <w:szCs w:val="28"/>
        </w:rPr>
        <w:t>2015年荣获“中国财经峰会最佳品牌形象奖”和“中国融资租赁杰出贡献奖”。</w:t>
      </w:r>
    </w:p>
    <w:p w:rsidR="00E13CF2" w:rsidRDefault="00E13CF2" w:rsidP="00E13CF2">
      <w:pPr>
        <w:spacing w:line="480" w:lineRule="auto"/>
        <w:ind w:firstLineChars="195" w:firstLine="546"/>
        <w:jc w:val="left"/>
        <w:rPr>
          <w:rFonts w:asciiTheme="minorEastAsia" w:eastAsiaTheme="minorEastAsia" w:hAnsiTheme="minorEastAsia"/>
          <w:bCs/>
          <w:sz w:val="28"/>
          <w:szCs w:val="28"/>
        </w:rPr>
      </w:pPr>
    </w:p>
    <w:p w:rsidR="00F466DD" w:rsidRPr="00E13CF2" w:rsidRDefault="00E13CF2" w:rsidP="00E13CF2">
      <w:pPr>
        <w:spacing w:line="480" w:lineRule="auto"/>
        <w:ind w:firstLineChars="195" w:firstLine="546"/>
        <w:jc w:val="left"/>
        <w:rPr>
          <w:rFonts w:asciiTheme="minorEastAsia" w:eastAsiaTheme="minorEastAsia" w:hAnsiTheme="minorEastAsia"/>
          <w:sz w:val="28"/>
          <w:szCs w:val="28"/>
        </w:rPr>
      </w:pPr>
      <w:r>
        <w:rPr>
          <w:rFonts w:asciiTheme="minorEastAsia" w:eastAsiaTheme="minorEastAsia" w:hAnsiTheme="minorEastAsia" w:hint="eastAsia"/>
          <w:sz w:val="28"/>
          <w:szCs w:val="28"/>
        </w:rPr>
        <w:t>二、</w:t>
      </w:r>
      <w:r w:rsidR="00F466DD" w:rsidRPr="00E13CF2">
        <w:rPr>
          <w:rFonts w:asciiTheme="minorEastAsia" w:eastAsiaTheme="minorEastAsia" w:hAnsiTheme="minorEastAsia" w:hint="eastAsia"/>
          <w:b/>
          <w:bCs/>
          <w:sz w:val="28"/>
          <w:szCs w:val="28"/>
        </w:rPr>
        <w:t>经营优势</w:t>
      </w:r>
    </w:p>
    <w:p w:rsidR="00F466DD" w:rsidRPr="00E13CF2" w:rsidRDefault="00F466DD" w:rsidP="00F466DD">
      <w:pPr>
        <w:spacing w:line="480" w:lineRule="auto"/>
        <w:ind w:firstLineChars="200" w:firstLine="560"/>
        <w:jc w:val="left"/>
        <w:rPr>
          <w:rFonts w:asciiTheme="minorEastAsia" w:eastAsiaTheme="minorEastAsia" w:hAnsiTheme="minorEastAsia"/>
          <w:sz w:val="28"/>
          <w:szCs w:val="28"/>
        </w:rPr>
      </w:pPr>
      <w:r w:rsidRPr="00E13CF2">
        <w:rPr>
          <w:rFonts w:asciiTheme="minorEastAsia" w:eastAsiaTheme="minorEastAsia" w:hAnsiTheme="minorEastAsia" w:hint="eastAsia"/>
          <w:sz w:val="28"/>
          <w:szCs w:val="28"/>
        </w:rPr>
        <w:t>1.客户优势。恒嘉租赁长期深耕于能源、</w:t>
      </w:r>
      <w:r w:rsidRPr="00E13CF2">
        <w:rPr>
          <w:rFonts w:asciiTheme="minorEastAsia" w:eastAsiaTheme="minorEastAsia" w:hAnsiTheme="minorEastAsia" w:hint="eastAsia"/>
          <w:bCs/>
          <w:sz w:val="28"/>
          <w:szCs w:val="28"/>
        </w:rPr>
        <w:t>电力、医疗、基础设施等行业</w:t>
      </w:r>
      <w:r w:rsidRPr="00E13CF2">
        <w:rPr>
          <w:rFonts w:asciiTheme="minorEastAsia" w:eastAsiaTheme="minorEastAsia" w:hAnsiTheme="minorEastAsia" w:hint="eastAsia"/>
          <w:sz w:val="28"/>
          <w:szCs w:val="28"/>
        </w:rPr>
        <w:t>，在上述行业及上下游产业链，积累了丰富的客户资源，储备了数量可观的优质项目，树立了良好的市场形象。</w:t>
      </w:r>
    </w:p>
    <w:p w:rsidR="00F466DD" w:rsidRPr="00E13CF2" w:rsidRDefault="00F466DD" w:rsidP="00F466DD">
      <w:pPr>
        <w:spacing w:line="480" w:lineRule="auto"/>
        <w:ind w:firstLineChars="200" w:firstLine="560"/>
        <w:jc w:val="left"/>
        <w:rPr>
          <w:rFonts w:asciiTheme="minorEastAsia" w:eastAsiaTheme="minorEastAsia" w:hAnsiTheme="minorEastAsia"/>
          <w:sz w:val="28"/>
          <w:szCs w:val="28"/>
        </w:rPr>
      </w:pPr>
      <w:r w:rsidRPr="00E13CF2">
        <w:rPr>
          <w:rFonts w:asciiTheme="minorEastAsia" w:eastAsiaTheme="minorEastAsia" w:hAnsiTheme="minorEastAsia" w:hint="eastAsia"/>
          <w:sz w:val="28"/>
          <w:szCs w:val="28"/>
        </w:rPr>
        <w:t>2.人才优势。</w:t>
      </w:r>
      <w:r w:rsidRPr="00E13CF2">
        <w:rPr>
          <w:rFonts w:asciiTheme="minorEastAsia" w:eastAsiaTheme="minorEastAsia" w:hAnsiTheme="minorEastAsia" w:cs="宋体" w:hint="eastAsia"/>
          <w:kern w:val="0"/>
          <w:sz w:val="28"/>
          <w:szCs w:val="28"/>
        </w:rPr>
        <w:t>恒嘉租赁</w:t>
      </w:r>
      <w:r w:rsidRPr="00E13CF2">
        <w:rPr>
          <w:rFonts w:asciiTheme="minorEastAsia" w:eastAsiaTheme="minorEastAsia" w:hAnsiTheme="minorEastAsia" w:hint="eastAsia"/>
          <w:sz w:val="28"/>
          <w:szCs w:val="28"/>
        </w:rPr>
        <w:t>聚集了一批综合素质优良，知识结构合理，投融资经验丰富，资源整合能力强，源于银行、证券、保险等主流金融机构的各类专业人才，形成了一支善于发现商业机会，敢于参与市场竞争，擅长交易结构设计，娴熟把控业务风险的运作团队。</w:t>
      </w:r>
    </w:p>
    <w:p w:rsidR="00F466DD" w:rsidRPr="00E13CF2" w:rsidRDefault="00F466DD" w:rsidP="00F466DD">
      <w:pPr>
        <w:spacing w:line="480" w:lineRule="auto"/>
        <w:ind w:firstLineChars="200" w:firstLine="560"/>
        <w:jc w:val="left"/>
        <w:rPr>
          <w:rFonts w:asciiTheme="minorEastAsia" w:eastAsiaTheme="minorEastAsia" w:hAnsiTheme="minorEastAsia"/>
          <w:sz w:val="28"/>
          <w:szCs w:val="28"/>
        </w:rPr>
      </w:pPr>
      <w:r w:rsidRPr="00E13CF2">
        <w:rPr>
          <w:rFonts w:asciiTheme="minorEastAsia" w:eastAsiaTheme="minorEastAsia" w:hAnsiTheme="minorEastAsia" w:hint="eastAsia"/>
          <w:sz w:val="28"/>
          <w:szCs w:val="28"/>
        </w:rPr>
        <w:lastRenderedPageBreak/>
        <w:t>3.创新优势。</w:t>
      </w:r>
      <w:r w:rsidRPr="00E13CF2">
        <w:rPr>
          <w:rFonts w:asciiTheme="minorEastAsia" w:eastAsiaTheme="minorEastAsia" w:hAnsiTheme="minorEastAsia" w:cs="宋体" w:hint="eastAsia"/>
          <w:kern w:val="0"/>
          <w:sz w:val="28"/>
          <w:szCs w:val="28"/>
        </w:rPr>
        <w:t>恒嘉租赁</w:t>
      </w:r>
      <w:r w:rsidRPr="00E13CF2">
        <w:rPr>
          <w:rFonts w:asciiTheme="minorEastAsia" w:eastAsiaTheme="minorEastAsia" w:hAnsiTheme="minorEastAsia" w:hint="eastAsia"/>
          <w:sz w:val="28"/>
          <w:szCs w:val="28"/>
        </w:rPr>
        <w:t>着力建设学习型团队，重视改善员工心智模式，激发员工潜在智慧和创新意识。强调结果导向，培育执行力文化，真正使公司的战略目标、远景构想转化为员工的自觉行动，推动公司持续、快速、健康地向更高更远的目标迈进。</w:t>
      </w:r>
    </w:p>
    <w:p w:rsidR="00E13CF2" w:rsidRDefault="00F466DD" w:rsidP="00E13CF2">
      <w:pPr>
        <w:spacing w:line="480" w:lineRule="auto"/>
        <w:ind w:firstLineChars="200" w:firstLine="560"/>
        <w:jc w:val="left"/>
        <w:rPr>
          <w:rFonts w:asciiTheme="minorEastAsia" w:eastAsiaTheme="minorEastAsia" w:hAnsiTheme="minorEastAsia"/>
          <w:color w:val="000000" w:themeColor="text1"/>
          <w:sz w:val="28"/>
          <w:szCs w:val="28"/>
        </w:rPr>
      </w:pPr>
      <w:r w:rsidRPr="00E13CF2">
        <w:rPr>
          <w:rFonts w:asciiTheme="minorEastAsia" w:eastAsiaTheme="minorEastAsia" w:hAnsiTheme="minorEastAsia" w:hint="eastAsia"/>
          <w:sz w:val="28"/>
          <w:szCs w:val="28"/>
        </w:rPr>
        <w:t>4.资本运作优势。作为香港联交所主板上市公司，恒嘉租赁在香港上市公司平台和股东国际化市场经验的支持下，立足中国市场，积极拓展国际业务，构建畅通的境外融资渠道，</w:t>
      </w:r>
      <w:r w:rsidRPr="00E13CF2">
        <w:rPr>
          <w:rFonts w:asciiTheme="minorEastAsia" w:eastAsiaTheme="minorEastAsia" w:hAnsiTheme="minorEastAsia" w:hint="eastAsia"/>
          <w:color w:val="000000" w:themeColor="text1"/>
          <w:sz w:val="28"/>
          <w:szCs w:val="28"/>
        </w:rPr>
        <w:t>助力“一路一带”国家战略的实施，为企业“走出去”提供投融资服务。</w:t>
      </w:r>
    </w:p>
    <w:p w:rsidR="00E13CF2" w:rsidRDefault="00E13CF2" w:rsidP="00E13CF2">
      <w:pPr>
        <w:spacing w:line="480" w:lineRule="auto"/>
        <w:ind w:firstLineChars="200" w:firstLine="560"/>
        <w:jc w:val="left"/>
        <w:rPr>
          <w:rFonts w:asciiTheme="minorEastAsia" w:eastAsiaTheme="minorEastAsia" w:hAnsiTheme="minorEastAsia"/>
          <w:color w:val="000000" w:themeColor="text1"/>
          <w:sz w:val="28"/>
          <w:szCs w:val="28"/>
        </w:rPr>
      </w:pPr>
    </w:p>
    <w:p w:rsidR="00F466DD" w:rsidRPr="00E13CF2" w:rsidRDefault="00E13CF2" w:rsidP="00E13CF2">
      <w:pPr>
        <w:spacing w:line="480" w:lineRule="auto"/>
        <w:ind w:firstLineChars="200" w:firstLine="560"/>
        <w:jc w:val="left"/>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三、</w:t>
      </w:r>
      <w:r w:rsidR="00F466DD" w:rsidRPr="00E13CF2">
        <w:rPr>
          <w:rFonts w:asciiTheme="minorEastAsia" w:eastAsiaTheme="minorEastAsia" w:hAnsiTheme="minorEastAsia" w:hint="eastAsia"/>
          <w:b/>
          <w:bCs/>
          <w:sz w:val="28"/>
          <w:szCs w:val="28"/>
        </w:rPr>
        <w:t>业务类型</w:t>
      </w:r>
    </w:p>
    <w:p w:rsidR="00F466DD" w:rsidRPr="00E13CF2" w:rsidRDefault="00F466DD" w:rsidP="00F466DD">
      <w:pPr>
        <w:spacing w:line="480" w:lineRule="auto"/>
        <w:ind w:firstLineChars="200" w:firstLine="560"/>
        <w:jc w:val="left"/>
        <w:rPr>
          <w:rFonts w:asciiTheme="minorEastAsia" w:eastAsiaTheme="minorEastAsia" w:hAnsiTheme="minorEastAsia"/>
          <w:sz w:val="28"/>
          <w:szCs w:val="28"/>
        </w:rPr>
      </w:pPr>
      <w:r w:rsidRPr="00E13CF2">
        <w:rPr>
          <w:rFonts w:asciiTheme="minorEastAsia" w:eastAsiaTheme="minorEastAsia" w:hAnsiTheme="minorEastAsia" w:hint="eastAsia"/>
          <w:sz w:val="28"/>
          <w:szCs w:val="28"/>
        </w:rPr>
        <w:t>1.直租。直租是融资租赁的主要形式，由承租人根据自身需要选择租赁设备，出租人购买并出租设备给承租人。直租可有效地帮助承租人解决因扩大生产、设备更新等遇到的重置设备的资金难题。</w:t>
      </w:r>
    </w:p>
    <w:p w:rsidR="00F466DD" w:rsidRPr="00E13CF2" w:rsidRDefault="00F466DD" w:rsidP="00F466DD">
      <w:pPr>
        <w:widowControl/>
        <w:spacing w:line="480" w:lineRule="auto"/>
        <w:ind w:firstLineChars="200" w:firstLine="560"/>
        <w:jc w:val="left"/>
        <w:rPr>
          <w:rFonts w:asciiTheme="minorEastAsia" w:eastAsiaTheme="minorEastAsia" w:hAnsiTheme="minorEastAsia"/>
          <w:sz w:val="28"/>
          <w:szCs w:val="28"/>
        </w:rPr>
      </w:pPr>
      <w:r w:rsidRPr="00E13CF2">
        <w:rPr>
          <w:rFonts w:asciiTheme="minorEastAsia" w:eastAsiaTheme="minorEastAsia" w:hAnsiTheme="minorEastAsia" w:hint="eastAsia"/>
          <w:sz w:val="28"/>
          <w:szCs w:val="28"/>
        </w:rPr>
        <w:t>2.售后回租。售后回租指由设备所有人将该设备卖给出租人后再以承租人身份租回设备以供使用，在租赁期满后支付残值重新获得设备的所有权。回租是帮助承租人有效盘活存量资产，扩宽融资渠道的重要途径。</w:t>
      </w:r>
    </w:p>
    <w:p w:rsidR="00F466DD" w:rsidRPr="00E13CF2" w:rsidRDefault="00F466DD" w:rsidP="00F466DD">
      <w:pPr>
        <w:widowControl/>
        <w:spacing w:line="480" w:lineRule="auto"/>
        <w:ind w:firstLineChars="200" w:firstLine="560"/>
        <w:jc w:val="left"/>
        <w:rPr>
          <w:rFonts w:asciiTheme="minorEastAsia" w:eastAsiaTheme="minorEastAsia" w:hAnsiTheme="minorEastAsia"/>
          <w:sz w:val="28"/>
          <w:szCs w:val="28"/>
        </w:rPr>
      </w:pPr>
      <w:r w:rsidRPr="00E13CF2">
        <w:rPr>
          <w:rFonts w:asciiTheme="minorEastAsia" w:eastAsiaTheme="minorEastAsia" w:hAnsiTheme="minorEastAsia" w:hint="eastAsia"/>
          <w:sz w:val="28"/>
          <w:szCs w:val="28"/>
        </w:rPr>
        <w:t>3.转租赁。转租赁是以同一物件为标的物的融资租赁业务，在转租赁业务中，恒嘉租赁从其他出租人处租入租赁物件再转租给承租人，租赁物的所有权归第一出租方。此模式有利于发挥专业优势、避免关联交易。</w:t>
      </w:r>
    </w:p>
    <w:p w:rsidR="00F466DD" w:rsidRPr="00E13CF2" w:rsidRDefault="00F466DD" w:rsidP="00F466DD">
      <w:pPr>
        <w:widowControl/>
        <w:spacing w:line="480" w:lineRule="auto"/>
        <w:ind w:firstLineChars="200" w:firstLine="560"/>
        <w:jc w:val="left"/>
        <w:rPr>
          <w:rFonts w:asciiTheme="minorEastAsia" w:eastAsiaTheme="minorEastAsia" w:hAnsiTheme="minorEastAsia"/>
          <w:sz w:val="28"/>
          <w:szCs w:val="28"/>
        </w:rPr>
      </w:pPr>
      <w:r w:rsidRPr="00E13CF2">
        <w:rPr>
          <w:rFonts w:asciiTheme="minorEastAsia" w:eastAsiaTheme="minorEastAsia" w:hAnsiTheme="minorEastAsia" w:hint="eastAsia"/>
          <w:sz w:val="28"/>
          <w:szCs w:val="28"/>
        </w:rPr>
        <w:lastRenderedPageBreak/>
        <w:t>4.委托租赁。委托租赁是指具有从事融资租赁业务资格的公司作为出租人，根据委托人的书面委托，向委托人指定的承租人办理的融资租赁业务。在租赁期内，租赁标的物的所有权归委托人。租赁期满后，租赁标的物产权可以转移给承租人，也可以不转移给承租人。</w:t>
      </w:r>
    </w:p>
    <w:p w:rsidR="00F466DD" w:rsidRPr="00E13CF2" w:rsidRDefault="00F466DD" w:rsidP="00F466DD">
      <w:pPr>
        <w:widowControl/>
        <w:spacing w:line="480" w:lineRule="auto"/>
        <w:ind w:firstLineChars="200" w:firstLine="560"/>
        <w:jc w:val="left"/>
        <w:rPr>
          <w:rFonts w:asciiTheme="minorEastAsia" w:eastAsiaTheme="minorEastAsia" w:hAnsiTheme="minorEastAsia"/>
          <w:sz w:val="28"/>
          <w:szCs w:val="28"/>
        </w:rPr>
      </w:pPr>
    </w:p>
    <w:p w:rsidR="00F466DD" w:rsidRPr="00E13CF2" w:rsidRDefault="00F466DD" w:rsidP="00F466DD">
      <w:pPr>
        <w:widowControl/>
        <w:spacing w:line="480" w:lineRule="auto"/>
        <w:ind w:firstLineChars="200" w:firstLine="560"/>
        <w:jc w:val="left"/>
        <w:rPr>
          <w:rFonts w:asciiTheme="minorEastAsia" w:eastAsiaTheme="minorEastAsia" w:hAnsiTheme="minorEastAsia"/>
          <w:sz w:val="28"/>
          <w:szCs w:val="28"/>
        </w:rPr>
      </w:pPr>
    </w:p>
    <w:p w:rsidR="00F466DD" w:rsidRPr="00E13CF2" w:rsidRDefault="00F466DD" w:rsidP="00F466DD">
      <w:pPr>
        <w:widowControl/>
        <w:spacing w:line="480" w:lineRule="auto"/>
        <w:jc w:val="left"/>
        <w:rPr>
          <w:rFonts w:asciiTheme="minorEastAsia" w:eastAsiaTheme="minorEastAsia" w:hAnsiTheme="minorEastAsia"/>
          <w:sz w:val="28"/>
          <w:szCs w:val="28"/>
        </w:rPr>
      </w:pPr>
    </w:p>
    <w:p w:rsidR="00F466DD" w:rsidRPr="00E13CF2" w:rsidRDefault="00F466DD" w:rsidP="00F466DD">
      <w:pPr>
        <w:spacing w:line="480" w:lineRule="auto"/>
        <w:jc w:val="left"/>
        <w:rPr>
          <w:rFonts w:asciiTheme="minorEastAsia" w:eastAsiaTheme="minorEastAsia" w:hAnsiTheme="minorEastAsia"/>
          <w:sz w:val="28"/>
          <w:szCs w:val="28"/>
        </w:rPr>
      </w:pPr>
    </w:p>
    <w:p w:rsidR="00F466DD" w:rsidRPr="00E13CF2" w:rsidRDefault="00F466DD" w:rsidP="00F466DD">
      <w:pPr>
        <w:spacing w:line="480" w:lineRule="auto"/>
        <w:jc w:val="left"/>
        <w:rPr>
          <w:rFonts w:asciiTheme="minorEastAsia" w:eastAsiaTheme="minorEastAsia" w:hAnsiTheme="minorEastAsia"/>
          <w:sz w:val="28"/>
          <w:szCs w:val="28"/>
        </w:rPr>
      </w:pPr>
    </w:p>
    <w:p w:rsidR="00F466DD" w:rsidRPr="00E13CF2" w:rsidRDefault="00F466DD" w:rsidP="00F466DD">
      <w:pPr>
        <w:rPr>
          <w:rFonts w:asciiTheme="minorEastAsia" w:eastAsiaTheme="minorEastAsia" w:hAnsiTheme="minorEastAsia"/>
          <w:sz w:val="28"/>
          <w:szCs w:val="28"/>
        </w:rPr>
      </w:pPr>
    </w:p>
    <w:p w:rsidR="00DF4C80" w:rsidRPr="00E13CF2" w:rsidRDefault="00DF4C80">
      <w:pPr>
        <w:rPr>
          <w:rFonts w:asciiTheme="minorEastAsia" w:eastAsiaTheme="minorEastAsia" w:hAnsiTheme="minorEastAsia"/>
          <w:sz w:val="28"/>
          <w:szCs w:val="28"/>
        </w:rPr>
      </w:pPr>
    </w:p>
    <w:sectPr w:rsidR="00DF4C80" w:rsidRPr="00E13CF2" w:rsidSect="00A4370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812" w:rsidRDefault="00726812" w:rsidP="00271EA7">
      <w:r>
        <w:separator/>
      </w:r>
    </w:p>
  </w:endnote>
  <w:endnote w:type="continuationSeparator" w:id="1">
    <w:p w:rsidR="00726812" w:rsidRDefault="00726812" w:rsidP="00271E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812" w:rsidRDefault="00726812" w:rsidP="00271EA7">
      <w:r>
        <w:separator/>
      </w:r>
    </w:p>
  </w:footnote>
  <w:footnote w:type="continuationSeparator" w:id="1">
    <w:p w:rsidR="00726812" w:rsidRDefault="00726812" w:rsidP="00271E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EA7" w:rsidRDefault="00271EA7" w:rsidP="00271EA7">
    <w:pPr>
      <w:pStyle w:val="a3"/>
    </w:pPr>
    <w:r>
      <w:rPr>
        <w:rFonts w:hint="eastAsia"/>
      </w:rPr>
      <w:t xml:space="preserve">                                               </w:t>
    </w:r>
    <w:r>
      <w:rPr>
        <w:noProof/>
      </w:rPr>
      <w:drawing>
        <wp:inline distT="0" distB="0" distL="0" distR="0">
          <wp:extent cx="2523744" cy="234696"/>
          <wp:effectExtent l="19050" t="0" r="0" b="0"/>
          <wp:docPr id="1" name="图片 0" descr="恒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恒嘉.jpg"/>
                  <pic:cNvPicPr/>
                </pic:nvPicPr>
                <pic:blipFill>
                  <a:blip r:embed="rId1"/>
                  <a:stretch>
                    <a:fillRect/>
                  </a:stretch>
                </pic:blipFill>
                <pic:spPr>
                  <a:xfrm>
                    <a:off x="0" y="0"/>
                    <a:ext cx="2523744" cy="23469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F071176"/>
    <w:multiLevelType w:val="hybridMultilevel"/>
    <w:tmpl w:val="03366FDC"/>
    <w:lvl w:ilvl="0" w:tplc="894CC108">
      <w:start w:val="1"/>
      <w:numFmt w:val="japaneseCounting"/>
      <w:lvlText w:val="%1、"/>
      <w:lvlJc w:val="left"/>
      <w:pPr>
        <w:ind w:left="1268" w:hanging="720"/>
      </w:pPr>
      <w:rPr>
        <w:rFonts w:hint="default"/>
      </w:rPr>
    </w:lvl>
    <w:lvl w:ilvl="1" w:tplc="04090019" w:tentative="1">
      <w:start w:val="1"/>
      <w:numFmt w:val="lowerLetter"/>
      <w:lvlText w:val="%2)"/>
      <w:lvlJc w:val="left"/>
      <w:pPr>
        <w:ind w:left="1388" w:hanging="420"/>
      </w:pPr>
    </w:lvl>
    <w:lvl w:ilvl="2" w:tplc="0409001B" w:tentative="1">
      <w:start w:val="1"/>
      <w:numFmt w:val="lowerRoman"/>
      <w:lvlText w:val="%3."/>
      <w:lvlJc w:val="right"/>
      <w:pPr>
        <w:ind w:left="1808" w:hanging="420"/>
      </w:pPr>
    </w:lvl>
    <w:lvl w:ilvl="3" w:tplc="0409000F" w:tentative="1">
      <w:start w:val="1"/>
      <w:numFmt w:val="decimal"/>
      <w:lvlText w:val="%4."/>
      <w:lvlJc w:val="left"/>
      <w:pPr>
        <w:ind w:left="2228" w:hanging="420"/>
      </w:pPr>
    </w:lvl>
    <w:lvl w:ilvl="4" w:tplc="04090019" w:tentative="1">
      <w:start w:val="1"/>
      <w:numFmt w:val="lowerLetter"/>
      <w:lvlText w:val="%5)"/>
      <w:lvlJc w:val="left"/>
      <w:pPr>
        <w:ind w:left="2648" w:hanging="420"/>
      </w:pPr>
    </w:lvl>
    <w:lvl w:ilvl="5" w:tplc="0409001B" w:tentative="1">
      <w:start w:val="1"/>
      <w:numFmt w:val="lowerRoman"/>
      <w:lvlText w:val="%6."/>
      <w:lvlJc w:val="right"/>
      <w:pPr>
        <w:ind w:left="3068" w:hanging="420"/>
      </w:pPr>
    </w:lvl>
    <w:lvl w:ilvl="6" w:tplc="0409000F" w:tentative="1">
      <w:start w:val="1"/>
      <w:numFmt w:val="decimal"/>
      <w:lvlText w:val="%7."/>
      <w:lvlJc w:val="left"/>
      <w:pPr>
        <w:ind w:left="3488" w:hanging="420"/>
      </w:pPr>
    </w:lvl>
    <w:lvl w:ilvl="7" w:tplc="04090019" w:tentative="1">
      <w:start w:val="1"/>
      <w:numFmt w:val="lowerLetter"/>
      <w:lvlText w:val="%8)"/>
      <w:lvlJc w:val="left"/>
      <w:pPr>
        <w:ind w:left="3908" w:hanging="420"/>
      </w:pPr>
    </w:lvl>
    <w:lvl w:ilvl="8" w:tplc="0409001B" w:tentative="1">
      <w:start w:val="1"/>
      <w:numFmt w:val="lowerRoman"/>
      <w:lvlText w:val="%9."/>
      <w:lvlJc w:val="right"/>
      <w:pPr>
        <w:ind w:left="4328" w:hanging="420"/>
      </w:pPr>
    </w:lvl>
  </w:abstractNum>
  <w:abstractNum w:abstractNumId="2">
    <w:nsid w:val="255B494B"/>
    <w:multiLevelType w:val="hybridMultilevel"/>
    <w:tmpl w:val="F1EEC300"/>
    <w:lvl w:ilvl="0" w:tplc="52F4C3D2">
      <w:start w:val="1"/>
      <w:numFmt w:val="japaneseCounting"/>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22E3E5C"/>
    <w:multiLevelType w:val="hybridMultilevel"/>
    <w:tmpl w:val="A2868742"/>
    <w:lvl w:ilvl="0" w:tplc="B1A6DD68">
      <w:start w:val="1"/>
      <w:numFmt w:val="japaneseCounting"/>
      <w:lvlText w:val="%1、"/>
      <w:lvlJc w:val="left"/>
      <w:pPr>
        <w:ind w:left="1265" w:hanging="720"/>
      </w:pPr>
      <w:rPr>
        <w:rFonts w:hint="default"/>
      </w:rPr>
    </w:lvl>
    <w:lvl w:ilvl="1" w:tplc="04090019" w:tentative="1">
      <w:start w:val="1"/>
      <w:numFmt w:val="lowerLetter"/>
      <w:lvlText w:val="%2)"/>
      <w:lvlJc w:val="left"/>
      <w:pPr>
        <w:ind w:left="1385" w:hanging="420"/>
      </w:pPr>
    </w:lvl>
    <w:lvl w:ilvl="2" w:tplc="0409001B" w:tentative="1">
      <w:start w:val="1"/>
      <w:numFmt w:val="lowerRoman"/>
      <w:lvlText w:val="%3."/>
      <w:lvlJc w:val="right"/>
      <w:pPr>
        <w:ind w:left="1805" w:hanging="420"/>
      </w:pPr>
    </w:lvl>
    <w:lvl w:ilvl="3" w:tplc="0409000F" w:tentative="1">
      <w:start w:val="1"/>
      <w:numFmt w:val="decimal"/>
      <w:lvlText w:val="%4."/>
      <w:lvlJc w:val="left"/>
      <w:pPr>
        <w:ind w:left="2225" w:hanging="420"/>
      </w:pPr>
    </w:lvl>
    <w:lvl w:ilvl="4" w:tplc="04090019" w:tentative="1">
      <w:start w:val="1"/>
      <w:numFmt w:val="lowerLetter"/>
      <w:lvlText w:val="%5)"/>
      <w:lvlJc w:val="left"/>
      <w:pPr>
        <w:ind w:left="2645" w:hanging="420"/>
      </w:pPr>
    </w:lvl>
    <w:lvl w:ilvl="5" w:tplc="0409001B" w:tentative="1">
      <w:start w:val="1"/>
      <w:numFmt w:val="lowerRoman"/>
      <w:lvlText w:val="%6."/>
      <w:lvlJc w:val="right"/>
      <w:pPr>
        <w:ind w:left="3065" w:hanging="420"/>
      </w:pPr>
    </w:lvl>
    <w:lvl w:ilvl="6" w:tplc="0409000F" w:tentative="1">
      <w:start w:val="1"/>
      <w:numFmt w:val="decimal"/>
      <w:lvlText w:val="%7."/>
      <w:lvlJc w:val="left"/>
      <w:pPr>
        <w:ind w:left="3485" w:hanging="420"/>
      </w:pPr>
    </w:lvl>
    <w:lvl w:ilvl="7" w:tplc="04090019" w:tentative="1">
      <w:start w:val="1"/>
      <w:numFmt w:val="lowerLetter"/>
      <w:lvlText w:val="%8)"/>
      <w:lvlJc w:val="left"/>
      <w:pPr>
        <w:ind w:left="3905" w:hanging="420"/>
      </w:pPr>
    </w:lvl>
    <w:lvl w:ilvl="8" w:tplc="0409001B" w:tentative="1">
      <w:start w:val="1"/>
      <w:numFmt w:val="lowerRoman"/>
      <w:lvlText w:val="%9."/>
      <w:lvlJc w:val="right"/>
      <w:pPr>
        <w:ind w:left="4325" w:hanging="420"/>
      </w:pPr>
    </w:lvl>
  </w:abstractNum>
  <w:abstractNum w:abstractNumId="4">
    <w:nsid w:val="45C13205"/>
    <w:multiLevelType w:val="multilevel"/>
    <w:tmpl w:val="0000000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1EA7"/>
    <w:rsid w:val="0026262B"/>
    <w:rsid w:val="00271EA7"/>
    <w:rsid w:val="002A2C6E"/>
    <w:rsid w:val="0031058C"/>
    <w:rsid w:val="00355D05"/>
    <w:rsid w:val="0038737D"/>
    <w:rsid w:val="00485221"/>
    <w:rsid w:val="004D2AD8"/>
    <w:rsid w:val="005C720A"/>
    <w:rsid w:val="006C0895"/>
    <w:rsid w:val="00700DEF"/>
    <w:rsid w:val="00726812"/>
    <w:rsid w:val="008F0E35"/>
    <w:rsid w:val="00A43704"/>
    <w:rsid w:val="00BA5BA9"/>
    <w:rsid w:val="00CF686E"/>
    <w:rsid w:val="00CF769A"/>
    <w:rsid w:val="00D15001"/>
    <w:rsid w:val="00DA2DAB"/>
    <w:rsid w:val="00DE517A"/>
    <w:rsid w:val="00DF4C80"/>
    <w:rsid w:val="00E108D8"/>
    <w:rsid w:val="00E13CF2"/>
    <w:rsid w:val="00EA5B30"/>
    <w:rsid w:val="00EF7600"/>
    <w:rsid w:val="00F466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DA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1E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1EA7"/>
    <w:rPr>
      <w:sz w:val="18"/>
      <w:szCs w:val="18"/>
    </w:rPr>
  </w:style>
  <w:style w:type="paragraph" w:styleId="a4">
    <w:name w:val="footer"/>
    <w:basedOn w:val="a"/>
    <w:link w:val="Char0"/>
    <w:uiPriority w:val="99"/>
    <w:semiHidden/>
    <w:unhideWhenUsed/>
    <w:rsid w:val="00271E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1EA7"/>
    <w:rPr>
      <w:sz w:val="18"/>
      <w:szCs w:val="18"/>
    </w:rPr>
  </w:style>
  <w:style w:type="paragraph" w:styleId="a5">
    <w:name w:val="Balloon Text"/>
    <w:basedOn w:val="a"/>
    <w:link w:val="Char1"/>
    <w:uiPriority w:val="99"/>
    <w:semiHidden/>
    <w:unhideWhenUsed/>
    <w:rsid w:val="00271EA7"/>
    <w:rPr>
      <w:sz w:val="18"/>
      <w:szCs w:val="18"/>
    </w:rPr>
  </w:style>
  <w:style w:type="character" w:customStyle="1" w:styleId="Char1">
    <w:name w:val="批注框文本 Char"/>
    <w:basedOn w:val="a0"/>
    <w:link w:val="a5"/>
    <w:uiPriority w:val="99"/>
    <w:semiHidden/>
    <w:rsid w:val="00271EA7"/>
    <w:rPr>
      <w:sz w:val="18"/>
      <w:szCs w:val="18"/>
    </w:rPr>
  </w:style>
  <w:style w:type="paragraph" w:styleId="a6">
    <w:name w:val="List Paragraph"/>
    <w:basedOn w:val="a"/>
    <w:uiPriority w:val="34"/>
    <w:qFormat/>
    <w:rsid w:val="00F466DD"/>
    <w:pPr>
      <w:spacing w:line="360" w:lineRule="auto"/>
      <w:ind w:firstLineChars="200" w:firstLine="420"/>
    </w:pPr>
    <w:rPr>
      <w:szCs w:val="22"/>
    </w:rPr>
  </w:style>
</w:styles>
</file>

<file path=word/webSettings.xml><?xml version="1.0" encoding="utf-8"?>
<w:webSettings xmlns:r="http://schemas.openxmlformats.org/officeDocument/2006/relationships" xmlns:w="http://schemas.openxmlformats.org/wordprocessingml/2006/main">
  <w:divs>
    <w:div w:id="195887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User</cp:lastModifiedBy>
  <cp:revision>5</cp:revision>
  <dcterms:created xsi:type="dcterms:W3CDTF">2016-09-19T02:45:00Z</dcterms:created>
  <dcterms:modified xsi:type="dcterms:W3CDTF">2016-10-10T07:07:00Z</dcterms:modified>
</cp:coreProperties>
</file>