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36"/>
          <w:szCs w:val="36"/>
          <w:lang w:val="en-US" w:eastAsia="zh-CN"/>
        </w:rPr>
      </w:pPr>
      <w:r>
        <w:rPr>
          <w:rFonts w:hint="eastAsia"/>
          <w:b/>
          <w:bCs/>
          <w:sz w:val="36"/>
          <w:szCs w:val="36"/>
          <w:lang w:val="en-US" w:eastAsia="zh-CN"/>
        </w:rPr>
        <w:t>融资租赁业务涉及的相关税务问题</w:t>
      </w:r>
    </w:p>
    <w:p>
      <w:pPr>
        <w:jc w:val="center"/>
        <w:rPr>
          <w:rFonts w:hint="eastAsia"/>
          <w:b/>
          <w:bCs/>
          <w:sz w:val="28"/>
          <w:szCs w:val="28"/>
          <w:lang w:val="en-US" w:eastAsia="zh-CN"/>
        </w:rPr>
      </w:pPr>
    </w:p>
    <w:p>
      <w:pPr>
        <w:numPr>
          <w:ilvl w:val="0"/>
          <w:numId w:val="1"/>
        </w:numPr>
        <w:rPr>
          <w:rFonts w:hint="eastAsia" w:asciiTheme="minorHAnsi" w:hAnsiTheme="minorHAnsi" w:eastAsiaTheme="minorEastAsia" w:cstheme="minorBidi"/>
          <w:kern w:val="2"/>
          <w:sz w:val="28"/>
          <w:szCs w:val="28"/>
          <w:lang w:val="en-US" w:eastAsia="zh-CN" w:bidi="ar-SA"/>
        </w:rPr>
      </w:pPr>
      <w:r>
        <w:rPr>
          <w:rFonts w:hint="eastAsia" w:cstheme="minorBidi"/>
          <w:kern w:val="2"/>
          <w:sz w:val="28"/>
          <w:szCs w:val="28"/>
          <w:lang w:val="en-US" w:eastAsia="zh-CN" w:bidi="ar-SA"/>
        </w:rPr>
        <w:t>税务基本常识</w:t>
      </w:r>
    </w:p>
    <w:p>
      <w:pPr>
        <w:numPr>
          <w:ilvl w:val="0"/>
          <w:numId w:val="2"/>
        </w:numPr>
        <w:rPr>
          <w:rFonts w:hint="eastAsia" w:cstheme="minorBidi"/>
          <w:kern w:val="2"/>
          <w:sz w:val="28"/>
          <w:szCs w:val="28"/>
          <w:lang w:val="en-US" w:eastAsia="zh-CN" w:bidi="ar-SA"/>
        </w:rPr>
      </w:pPr>
      <w:r>
        <w:rPr>
          <w:rFonts w:hint="eastAsia" w:cstheme="minorBidi"/>
          <w:kern w:val="2"/>
          <w:sz w:val="28"/>
          <w:szCs w:val="28"/>
          <w:lang w:val="en-US" w:eastAsia="zh-CN" w:bidi="ar-SA"/>
        </w:rPr>
        <w:t>纳税人类别</w:t>
      </w:r>
    </w:p>
    <w:p>
      <w:pPr>
        <w:numPr>
          <w:numId w:val="0"/>
        </w:numPr>
        <w:rPr>
          <w:rFonts w:hint="eastAsia" w:cstheme="minorBidi"/>
          <w:kern w:val="2"/>
          <w:sz w:val="28"/>
          <w:szCs w:val="28"/>
          <w:lang w:val="en-US" w:eastAsia="zh-CN" w:bidi="ar-SA"/>
        </w:rPr>
      </w:pPr>
      <w:r>
        <w:rPr>
          <w:rFonts w:hint="eastAsia" w:cstheme="minorBidi"/>
          <w:kern w:val="2"/>
          <w:sz w:val="28"/>
          <w:szCs w:val="28"/>
          <w:lang w:val="en-US" w:eastAsia="zh-CN" w:bidi="ar-SA"/>
        </w:rPr>
        <w:t xml:space="preserve">      纳</w:t>
      </w:r>
      <w:r>
        <w:rPr>
          <w:rFonts w:hint="eastAsia" w:cstheme="minorBidi"/>
          <w:kern w:val="2"/>
          <w:sz w:val="28"/>
          <w:szCs w:val="28"/>
          <w:lang w:val="en-US" w:eastAsia="zh-CN" w:bidi="ar-SA"/>
        </w:rPr>
        <w:t>税人分为一般纳税人和小规模纳税人，一般的企业年销售收入超过500万元；或者有固定的生产经营场所，能够按照国家统一的会计制度规定设置账簿，根据合法、有效凭证核算，能够提供准确税务资料可以选择认定为一般纳税人。一般纳税人可以开具增值税专用发票和普通发票，取得的增值税专用发票可以抵扣税额；小规模纳税人按照3%的征收率缴纳增值税，只能开具增值税普通发票，不能抵扣进项税额。</w:t>
      </w:r>
    </w:p>
    <w:p>
      <w:pPr>
        <w:numPr>
          <w:ilvl w:val="0"/>
          <w:numId w:val="2"/>
        </w:numPr>
        <w:rPr>
          <w:rFonts w:hint="eastAsia" w:cstheme="minorBidi"/>
          <w:kern w:val="2"/>
          <w:sz w:val="28"/>
          <w:szCs w:val="28"/>
          <w:lang w:val="en-US" w:eastAsia="zh-CN" w:bidi="ar-SA"/>
        </w:rPr>
      </w:pPr>
      <w:r>
        <w:rPr>
          <w:rFonts w:hint="eastAsia" w:cstheme="minorBidi"/>
          <w:kern w:val="2"/>
          <w:sz w:val="28"/>
          <w:szCs w:val="28"/>
          <w:lang w:val="en-US" w:eastAsia="zh-CN" w:bidi="ar-SA"/>
        </w:rPr>
        <w:t>发票类别</w:t>
      </w:r>
    </w:p>
    <w:p>
      <w:pPr>
        <w:numPr>
          <w:numId w:val="0"/>
        </w:numPr>
        <w:rPr>
          <w:rFonts w:hint="eastAsia" w:cstheme="minorBidi"/>
          <w:kern w:val="2"/>
          <w:sz w:val="28"/>
          <w:szCs w:val="28"/>
          <w:lang w:val="en-US" w:eastAsia="zh-CN" w:bidi="ar-SA"/>
        </w:rPr>
      </w:pPr>
      <w:r>
        <w:rPr>
          <w:rFonts w:hint="eastAsia" w:cstheme="minorBidi"/>
          <w:kern w:val="2"/>
          <w:sz w:val="28"/>
          <w:szCs w:val="28"/>
          <w:lang w:val="en-US" w:eastAsia="zh-CN" w:bidi="ar-SA"/>
        </w:rPr>
        <w:t xml:space="preserve">      增值税发票分为定额发票和不定额发票，其中不定额发票又包含增值税普通发票和增值税专用发票。</w:t>
      </w:r>
    </w:p>
    <w:p>
      <w:pPr>
        <w:numPr>
          <w:numId w:val="0"/>
        </w:numPr>
        <w:rPr>
          <w:rFonts w:hint="eastAsia" w:cstheme="minorBidi"/>
          <w:kern w:val="2"/>
          <w:sz w:val="28"/>
          <w:szCs w:val="28"/>
          <w:lang w:val="en-US" w:eastAsia="zh-CN" w:bidi="ar-SA"/>
        </w:rPr>
      </w:pPr>
      <w:r>
        <w:rPr>
          <w:rFonts w:hint="eastAsia" w:cstheme="minorBidi"/>
          <w:kern w:val="2"/>
          <w:sz w:val="28"/>
          <w:szCs w:val="28"/>
          <w:lang w:val="en-US" w:eastAsia="zh-CN" w:bidi="ar-SA"/>
        </w:rPr>
        <w:t>1、定额发票</w:t>
      </w:r>
    </w:p>
    <w:p>
      <w:pPr>
        <w:numPr>
          <w:numId w:val="0"/>
        </w:numPr>
        <w:rPr>
          <w:sz w:val="28"/>
          <w:szCs w:val="28"/>
        </w:rPr>
      </w:pPr>
      <w:r>
        <w:rPr>
          <w:sz w:val="28"/>
          <w:szCs w:val="28"/>
        </w:rPr>
        <w:drawing>
          <wp:inline distT="0" distB="0" distL="114300" distR="114300">
            <wp:extent cx="5271135" cy="2630805"/>
            <wp:effectExtent l="0" t="0" r="5715" b="171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5271135" cy="2630805"/>
                    </a:xfrm>
                    <a:prstGeom prst="rect">
                      <a:avLst/>
                    </a:prstGeom>
                    <a:noFill/>
                    <a:ln w="9525">
                      <a:noFill/>
                    </a:ln>
                  </pic:spPr>
                </pic:pic>
              </a:graphicData>
            </a:graphic>
          </wp:inline>
        </w:drawing>
      </w:r>
    </w:p>
    <w:p>
      <w:pPr>
        <w:numPr>
          <w:ilvl w:val="0"/>
          <w:numId w:val="3"/>
        </w:numPr>
        <w:rPr>
          <w:rFonts w:hint="eastAsia"/>
          <w:sz w:val="28"/>
          <w:szCs w:val="28"/>
          <w:lang w:val="en-US" w:eastAsia="zh-CN"/>
        </w:rPr>
      </w:pPr>
      <w:r>
        <w:rPr>
          <w:rFonts w:hint="eastAsia"/>
          <w:sz w:val="28"/>
          <w:szCs w:val="28"/>
          <w:lang w:val="en-US" w:eastAsia="zh-CN"/>
        </w:rPr>
        <w:t>普通发票一式两联，分别为记账联和发票联</w:t>
      </w:r>
    </w:p>
    <w:p>
      <w:pPr>
        <w:numPr>
          <w:numId w:val="0"/>
        </w:numPr>
        <w:rPr>
          <w:rFonts w:hint="eastAsia"/>
          <w:sz w:val="28"/>
          <w:szCs w:val="28"/>
          <w:lang w:val="en-US" w:eastAsia="zh-CN"/>
        </w:rPr>
      </w:pPr>
      <w:r>
        <w:rPr>
          <w:sz w:val="28"/>
          <w:szCs w:val="28"/>
        </w:rPr>
        <w:drawing>
          <wp:inline distT="0" distB="0" distL="114300" distR="114300">
            <wp:extent cx="5272405" cy="3159760"/>
            <wp:effectExtent l="0" t="0" r="444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5272405" cy="3159760"/>
                    </a:xfrm>
                    <a:prstGeom prst="rect">
                      <a:avLst/>
                    </a:prstGeom>
                    <a:noFill/>
                    <a:ln w="9525">
                      <a:noFill/>
                    </a:ln>
                  </pic:spPr>
                </pic:pic>
              </a:graphicData>
            </a:graphic>
          </wp:inline>
        </w:drawing>
      </w:r>
    </w:p>
    <w:p>
      <w:pPr>
        <w:numPr>
          <w:ilvl w:val="0"/>
          <w:numId w:val="3"/>
        </w:numPr>
        <w:rPr>
          <w:rFonts w:hint="eastAsia"/>
          <w:sz w:val="28"/>
          <w:szCs w:val="28"/>
          <w:lang w:val="en-US" w:eastAsia="zh-CN"/>
        </w:rPr>
      </w:pPr>
      <w:r>
        <w:rPr>
          <w:rFonts w:hint="eastAsia"/>
          <w:sz w:val="28"/>
          <w:szCs w:val="28"/>
          <w:lang w:val="en-US" w:eastAsia="zh-CN"/>
        </w:rPr>
        <w:t>专用发票一式三联，分别为记账联，发票联和抵扣联</w:t>
      </w:r>
    </w:p>
    <w:p>
      <w:pPr>
        <w:numPr>
          <w:numId w:val="0"/>
        </w:numPr>
        <w:rPr>
          <w:rFonts w:hint="eastAsia"/>
          <w:sz w:val="28"/>
          <w:szCs w:val="28"/>
          <w:lang w:val="en-US" w:eastAsia="zh-CN"/>
        </w:rPr>
      </w:pPr>
      <w:r>
        <w:rPr>
          <w:sz w:val="28"/>
          <w:szCs w:val="28"/>
        </w:rPr>
        <w:drawing>
          <wp:inline distT="0" distB="0" distL="114300" distR="114300">
            <wp:extent cx="5269865" cy="2952750"/>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5269865" cy="2952750"/>
                    </a:xfrm>
                    <a:prstGeom prst="rect">
                      <a:avLst/>
                    </a:prstGeom>
                    <a:noFill/>
                    <a:ln w="9525">
                      <a:noFill/>
                    </a:ln>
                  </pic:spPr>
                </pic:pic>
              </a:graphicData>
            </a:graphic>
          </wp:inline>
        </w:drawing>
      </w:r>
    </w:p>
    <w:p>
      <w:pPr>
        <w:numPr>
          <w:numId w:val="0"/>
        </w:numPr>
        <w:rPr>
          <w:rFonts w:hint="eastAsia" w:cstheme="minorBidi"/>
          <w:kern w:val="2"/>
          <w:sz w:val="28"/>
          <w:szCs w:val="28"/>
          <w:lang w:val="en-US" w:eastAsia="zh-CN" w:bidi="ar-SA"/>
        </w:rPr>
      </w:pPr>
    </w:p>
    <w:p>
      <w:pPr>
        <w:numPr>
          <w:ilvl w:val="0"/>
          <w:numId w:val="2"/>
        </w:numPr>
        <w:rPr>
          <w:rFonts w:hint="eastAsia" w:cstheme="minorBidi"/>
          <w:kern w:val="2"/>
          <w:sz w:val="28"/>
          <w:szCs w:val="28"/>
          <w:lang w:val="en-US" w:eastAsia="zh-CN" w:bidi="ar-SA"/>
        </w:rPr>
      </w:pPr>
      <w:r>
        <w:rPr>
          <w:rFonts w:hint="eastAsia" w:cstheme="minorBidi"/>
          <w:kern w:val="2"/>
          <w:sz w:val="28"/>
          <w:szCs w:val="28"/>
          <w:lang w:val="en-US" w:eastAsia="zh-CN" w:bidi="ar-SA"/>
        </w:rPr>
        <w:t>报销注意事项</w:t>
      </w:r>
    </w:p>
    <w:p>
      <w:pPr>
        <w:numPr>
          <w:numId w:val="0"/>
        </w:numPr>
        <w:rPr>
          <w:sz w:val="28"/>
          <w:szCs w:val="28"/>
        </w:rPr>
      </w:pPr>
      <w:r>
        <w:rPr>
          <w:rFonts w:ascii="Tahoma" w:hAnsi="Tahoma" w:eastAsia="Tahoma" w:cs="Tahoma"/>
          <w:b w:val="0"/>
          <w:i w:val="0"/>
          <w:caps w:val="0"/>
          <w:color w:val="000000"/>
          <w:spacing w:val="0"/>
          <w:sz w:val="28"/>
          <w:szCs w:val="28"/>
          <w:bdr w:val="none" w:color="auto" w:sz="0" w:space="0"/>
        </w:rPr>
        <w:t>  2016年5月1日后，全国各行业均纳入增值税征税范围，可开具增值税发票。增值税发票分为</w:t>
      </w:r>
      <w:r>
        <w:rPr>
          <w:rFonts w:hint="default" w:ascii="Tahoma" w:hAnsi="Tahoma" w:eastAsia="Tahoma" w:cs="Tahoma"/>
          <w:b w:val="0"/>
          <w:i w:val="0"/>
          <w:caps w:val="0"/>
          <w:color w:val="000000"/>
          <w:spacing w:val="0"/>
          <w:sz w:val="28"/>
          <w:szCs w:val="28"/>
          <w:bdr w:val="none" w:color="auto" w:sz="0" w:space="0"/>
          <w:shd w:val="clear" w:fill="FFC000"/>
        </w:rPr>
        <w:t>普通发票</w:t>
      </w:r>
      <w:r>
        <w:rPr>
          <w:rFonts w:hint="default" w:ascii="Tahoma" w:hAnsi="Tahoma" w:eastAsia="Tahoma" w:cs="Tahoma"/>
          <w:b w:val="0"/>
          <w:i w:val="0"/>
          <w:caps w:val="0"/>
          <w:color w:val="000000"/>
          <w:spacing w:val="0"/>
          <w:sz w:val="28"/>
          <w:szCs w:val="28"/>
          <w:bdr w:val="none" w:color="auto" w:sz="0" w:space="0"/>
        </w:rPr>
        <w:t>和</w:t>
      </w:r>
      <w:r>
        <w:rPr>
          <w:rFonts w:hint="default" w:ascii="Tahoma" w:hAnsi="Tahoma" w:eastAsia="Tahoma" w:cs="Tahoma"/>
          <w:b w:val="0"/>
          <w:i w:val="0"/>
          <w:caps w:val="0"/>
          <w:color w:val="000000"/>
          <w:spacing w:val="0"/>
          <w:sz w:val="28"/>
          <w:szCs w:val="28"/>
          <w:bdr w:val="none" w:color="auto" w:sz="0" w:space="0"/>
          <w:shd w:val="clear" w:fill="FFC000"/>
        </w:rPr>
        <w:t>专用发票</w:t>
      </w:r>
      <w:r>
        <w:rPr>
          <w:rFonts w:hint="default" w:ascii="Tahoma" w:hAnsi="Tahoma" w:eastAsia="Tahoma" w:cs="Tahoma"/>
          <w:b w:val="0"/>
          <w:i w:val="0"/>
          <w:caps w:val="0"/>
          <w:color w:val="000000"/>
          <w:spacing w:val="0"/>
          <w:sz w:val="28"/>
          <w:szCs w:val="28"/>
          <w:bdr w:val="none" w:color="auto" w:sz="0" w:space="0"/>
        </w:rPr>
        <w:t>，其中专用发票可以抵减我公司税额。</w:t>
      </w:r>
      <w:r>
        <w:rPr>
          <w:rFonts w:hint="eastAsia" w:ascii="Tahoma" w:hAnsi="Tahoma" w:eastAsia="宋体" w:cs="Tahoma"/>
          <w:b w:val="0"/>
          <w:i w:val="0"/>
          <w:caps w:val="0"/>
          <w:color w:val="000000"/>
          <w:spacing w:val="0"/>
          <w:sz w:val="28"/>
          <w:szCs w:val="28"/>
          <w:bdr w:val="none" w:color="auto" w:sz="0" w:space="0"/>
          <w:lang w:val="en-US" w:eastAsia="zh-CN"/>
        </w:rPr>
        <w:t>各位同事</w:t>
      </w:r>
      <w:r>
        <w:rPr>
          <w:rFonts w:hint="default" w:ascii="Tahoma" w:hAnsi="Tahoma" w:eastAsia="Tahoma" w:cs="Tahoma"/>
          <w:b w:val="0"/>
          <w:i w:val="0"/>
          <w:caps w:val="0"/>
          <w:color w:val="000000"/>
          <w:spacing w:val="0"/>
          <w:sz w:val="28"/>
          <w:szCs w:val="28"/>
          <w:bdr w:val="none" w:color="auto" w:sz="0" w:space="0"/>
        </w:rPr>
        <w:t>需要在发生相应报销费用时根据规定取得增值税专用发票，否则不予报销。为方便大家明确哪些发票需要开具增值税专用发票，现将具体内容归纳整理如下：</w:t>
      </w:r>
      <w:r>
        <w:rPr>
          <w:rFonts w:hint="eastAsia"/>
          <w:sz w:val="28"/>
          <w:szCs w:val="28"/>
          <w:lang w:val="en-US" w:eastAsia="zh-CN"/>
        </w:rPr>
        <w:t xml:space="preserve">   </w:t>
      </w:r>
      <w:r>
        <w:rPr>
          <w:sz w:val="28"/>
          <w:szCs w:val="28"/>
        </w:rPr>
        <w:drawing>
          <wp:inline distT="0" distB="0" distL="114300" distR="114300">
            <wp:extent cx="5076190" cy="5400040"/>
            <wp:effectExtent l="0" t="0" r="1016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5076190" cy="5400040"/>
                    </a:xfrm>
                    <a:prstGeom prst="rect">
                      <a:avLst/>
                    </a:prstGeom>
                    <a:noFill/>
                    <a:ln w="9525">
                      <a:noFill/>
                    </a:ln>
                  </pic:spPr>
                </pic:pic>
              </a:graphicData>
            </a:graphic>
          </wp:inline>
        </w:drawing>
      </w:r>
    </w:p>
    <w:p>
      <w:pPr>
        <w:numPr>
          <w:numId w:val="0"/>
        </w:numPr>
        <w:rPr>
          <w:rFonts w:hint="eastAsia" w:ascii="Tahoma" w:hAnsi="Tahoma" w:eastAsia="宋体" w:cs="Tahoma"/>
          <w:b w:val="0"/>
          <w:i w:val="0"/>
          <w:caps w:val="0"/>
          <w:color w:val="000000"/>
          <w:spacing w:val="0"/>
          <w:sz w:val="28"/>
          <w:szCs w:val="28"/>
          <w:lang w:eastAsia="zh-CN"/>
        </w:rPr>
      </w:pPr>
      <w:r>
        <w:rPr>
          <w:rFonts w:ascii="Tahoma" w:hAnsi="Tahoma" w:eastAsia="Tahoma" w:cs="Tahoma"/>
          <w:b w:val="0"/>
          <w:i w:val="0"/>
          <w:caps w:val="0"/>
          <w:color w:val="000000"/>
          <w:spacing w:val="0"/>
          <w:sz w:val="28"/>
          <w:szCs w:val="28"/>
        </w:rPr>
        <w:t>取得增值税发票后，请将发票联正常贴票报销；抵扣联单独保存完好，切忌弯折，单独交至财务部</w:t>
      </w:r>
      <w:r>
        <w:rPr>
          <w:rFonts w:hint="eastAsia" w:ascii="Tahoma" w:hAnsi="Tahoma" w:eastAsia="宋体" w:cs="Tahoma"/>
          <w:b w:val="0"/>
          <w:i w:val="0"/>
          <w:caps w:val="0"/>
          <w:color w:val="000000"/>
          <w:spacing w:val="0"/>
          <w:sz w:val="28"/>
          <w:szCs w:val="28"/>
          <w:lang w:eastAsia="zh-CN"/>
        </w:rPr>
        <w:t>。</w:t>
      </w:r>
    </w:p>
    <w:p>
      <w:pPr>
        <w:numPr>
          <w:ilvl w:val="0"/>
          <w:numId w:val="2"/>
        </w:numPr>
        <w:rPr>
          <w:rFonts w:hint="eastAsia" w:ascii="Tahoma" w:hAnsi="Tahoma" w:eastAsia="宋体" w:cs="Tahoma"/>
          <w:b w:val="0"/>
          <w:i w:val="0"/>
          <w:caps w:val="0"/>
          <w:color w:val="000000"/>
          <w:spacing w:val="0"/>
          <w:sz w:val="28"/>
          <w:szCs w:val="28"/>
          <w:lang w:val="en-US" w:eastAsia="zh-CN"/>
        </w:rPr>
      </w:pPr>
      <w:r>
        <w:rPr>
          <w:rFonts w:hint="eastAsia" w:ascii="Tahoma" w:hAnsi="Tahoma" w:eastAsia="宋体" w:cs="Tahoma"/>
          <w:b w:val="0"/>
          <w:i w:val="0"/>
          <w:caps w:val="0"/>
          <w:color w:val="000000"/>
          <w:spacing w:val="0"/>
          <w:sz w:val="28"/>
          <w:szCs w:val="28"/>
          <w:lang w:val="en-US" w:eastAsia="zh-CN"/>
        </w:rPr>
        <w:t>附加税费</w:t>
      </w:r>
    </w:p>
    <w:p>
      <w:pPr>
        <w:numPr>
          <w:numId w:val="0"/>
        </w:numPr>
        <w:rPr>
          <w:rFonts w:hint="eastAsia" w:ascii="Tahoma" w:hAnsi="Tahoma" w:eastAsia="宋体" w:cs="Tahoma"/>
          <w:b w:val="0"/>
          <w:i w:val="0"/>
          <w:caps w:val="0"/>
          <w:color w:val="000000"/>
          <w:spacing w:val="0"/>
          <w:sz w:val="28"/>
          <w:szCs w:val="28"/>
          <w:lang w:val="en-US" w:eastAsia="zh-CN"/>
        </w:rPr>
      </w:pPr>
      <w:r>
        <w:rPr>
          <w:rFonts w:hint="eastAsia" w:ascii="Tahoma" w:hAnsi="Tahoma" w:eastAsia="宋体" w:cs="Tahoma"/>
          <w:b w:val="0"/>
          <w:i w:val="0"/>
          <w:caps w:val="0"/>
          <w:color w:val="000000"/>
          <w:spacing w:val="0"/>
          <w:sz w:val="28"/>
          <w:szCs w:val="28"/>
          <w:lang w:val="en-US" w:eastAsia="zh-CN"/>
        </w:rPr>
        <w:t>增值税附加税包含城市建设维护费，教育费附加和地方教育费附加，税率分别为5%，3%和2%，总和10%，计算项目相关税金时注意不要忽视。</w:t>
      </w:r>
      <w:bookmarkStart w:id="0" w:name="_GoBack"/>
      <w:bookmarkEnd w:id="0"/>
    </w:p>
    <w:p>
      <w:pPr>
        <w:numPr>
          <w:numId w:val="0"/>
        </w:numPr>
        <w:rPr>
          <w:rFonts w:hint="eastAsia" w:ascii="Tahoma" w:hAnsi="Tahoma" w:eastAsia="宋体" w:cs="Tahoma"/>
          <w:b w:val="0"/>
          <w:i w:val="0"/>
          <w:caps w:val="0"/>
          <w:color w:val="000000"/>
          <w:spacing w:val="0"/>
          <w:sz w:val="28"/>
          <w:szCs w:val="28"/>
          <w:lang w:val="en-US" w:eastAsia="zh-CN"/>
        </w:rPr>
      </w:pPr>
    </w:p>
    <w:p>
      <w:pPr>
        <w:numPr>
          <w:ilvl w:val="0"/>
          <w:numId w:val="1"/>
        </w:numPr>
        <w:rPr>
          <w:rFonts w:hint="eastAsia" w:asciiTheme="minorHAnsi" w:hAnsiTheme="minorHAnsi" w:eastAsiaTheme="minorEastAsia" w:cstheme="minorBidi"/>
          <w:kern w:val="2"/>
          <w:sz w:val="28"/>
          <w:szCs w:val="28"/>
          <w:lang w:val="en-US" w:eastAsia="zh-CN" w:bidi="ar-SA"/>
        </w:rPr>
      </w:pPr>
      <w:r>
        <w:rPr>
          <w:rFonts w:hint="eastAsia"/>
          <w:sz w:val="28"/>
          <w:szCs w:val="28"/>
          <w:lang w:val="en-US" w:eastAsia="zh-CN"/>
        </w:rPr>
        <w:t>国家营改增政策变动对融资租赁的税务影响</w:t>
      </w:r>
    </w:p>
    <w:p>
      <w:pPr>
        <w:numPr>
          <w:numId w:val="0"/>
        </w:numPr>
        <w:rPr>
          <w:rFonts w:hint="eastAsia" w:asciiTheme="minorHAnsi" w:hAnsiTheme="minorHAnsi" w:eastAsiaTheme="minorEastAsia" w:cstheme="minorBidi"/>
          <w:kern w:val="2"/>
          <w:sz w:val="28"/>
          <w:szCs w:val="28"/>
          <w:lang w:val="en-US" w:eastAsia="zh-CN" w:bidi="ar-SA"/>
        </w:rPr>
      </w:pPr>
      <w:r>
        <w:rPr>
          <w:rFonts w:hint="eastAsia"/>
          <w:sz w:val="28"/>
          <w:szCs w:val="28"/>
          <w:lang w:val="en-US" w:eastAsia="zh-CN"/>
        </w:rPr>
        <w:t xml:space="preserve">     税目的</w:t>
      </w:r>
      <w:r>
        <w:rPr>
          <w:rFonts w:hint="eastAsia" w:asciiTheme="minorHAnsi" w:hAnsiTheme="minorHAnsi" w:eastAsiaTheme="minorEastAsia" w:cstheme="minorBidi"/>
          <w:kern w:val="2"/>
          <w:sz w:val="28"/>
          <w:szCs w:val="28"/>
          <w:lang w:val="en-US" w:eastAsia="zh-CN" w:bidi="ar-SA"/>
        </w:rPr>
        <w:t>新旧变化</w:t>
      </w:r>
      <w:r>
        <w:rPr>
          <w:rFonts w:hint="eastAsia" w:cstheme="minorBidi"/>
          <w:kern w:val="2"/>
          <w:sz w:val="28"/>
          <w:szCs w:val="28"/>
          <w:lang w:val="en-US" w:eastAsia="zh-CN" w:bidi="ar-SA"/>
        </w:rPr>
        <w:t>，</w:t>
      </w:r>
      <w:r>
        <w:rPr>
          <w:rFonts w:hint="eastAsia" w:asciiTheme="minorHAnsi" w:hAnsiTheme="minorHAnsi" w:eastAsiaTheme="minorEastAsia" w:cstheme="minorBidi"/>
          <w:kern w:val="2"/>
          <w:sz w:val="28"/>
          <w:szCs w:val="28"/>
          <w:lang w:val="en-US" w:eastAsia="zh-CN" w:bidi="ar-SA"/>
        </w:rPr>
        <w:t>原营业税税目融资租赁属于“金融保险业”,</w:t>
      </w:r>
      <w:r>
        <w:rPr>
          <w:rFonts w:hint="eastAsia" w:cstheme="minorBidi"/>
          <w:kern w:val="2"/>
          <w:sz w:val="28"/>
          <w:szCs w:val="28"/>
          <w:lang w:val="en-US" w:eastAsia="zh-CN" w:bidi="ar-SA"/>
        </w:rPr>
        <w:t>新的税目下</w:t>
      </w:r>
      <w:r>
        <w:rPr>
          <w:rFonts w:hint="eastAsia" w:asciiTheme="minorHAnsi" w:hAnsiTheme="minorHAnsi" w:eastAsiaTheme="minorEastAsia" w:cstheme="minorBidi"/>
          <w:kern w:val="2"/>
          <w:sz w:val="28"/>
          <w:szCs w:val="28"/>
          <w:lang w:val="en-US" w:eastAsia="zh-CN" w:bidi="ar-SA"/>
        </w:rPr>
        <w:t>将“融资性售后回租”从“有形动产租赁服务”纳入</w:t>
      </w:r>
      <w:r>
        <w:rPr>
          <w:rFonts w:hint="eastAsia" w:cstheme="minorBidi"/>
          <w:kern w:val="2"/>
          <w:sz w:val="28"/>
          <w:szCs w:val="28"/>
          <w:lang w:val="en-US" w:eastAsia="zh-CN" w:bidi="ar-SA"/>
        </w:rPr>
        <w:t>金融服务的</w:t>
      </w:r>
      <w:r>
        <w:rPr>
          <w:rFonts w:hint="eastAsia" w:asciiTheme="minorHAnsi" w:hAnsiTheme="minorHAnsi" w:eastAsiaTheme="minorEastAsia" w:cstheme="minorBidi"/>
          <w:kern w:val="2"/>
          <w:sz w:val="28"/>
          <w:szCs w:val="28"/>
          <w:lang w:val="en-US" w:eastAsia="zh-CN" w:bidi="ar-SA"/>
        </w:rPr>
        <w:t>“贷款服务”范围。</w:t>
      </w:r>
    </w:p>
    <w:p>
      <w:pPr>
        <w:rPr>
          <w:rFonts w:hint="eastAsia"/>
          <w:sz w:val="28"/>
          <w:szCs w:val="28"/>
          <w:lang w:val="en-US" w:eastAsia="zh-CN"/>
        </w:rPr>
      </w:pPr>
      <w:r>
        <w:rPr>
          <w:rFonts w:hint="eastAsia"/>
          <w:sz w:val="28"/>
          <w:szCs w:val="28"/>
          <w:lang w:val="en-US" w:eastAsia="zh-CN"/>
        </w:rPr>
        <w:t>（一）老项目的执行</w:t>
      </w:r>
    </w:p>
    <w:p>
      <w:pPr>
        <w:rPr>
          <w:rFonts w:hint="eastAsia"/>
          <w:sz w:val="28"/>
          <w:szCs w:val="28"/>
          <w:lang w:val="en-US" w:eastAsia="zh-CN"/>
        </w:rPr>
      </w:pPr>
      <w:r>
        <w:rPr>
          <w:rFonts w:hint="eastAsia"/>
          <w:sz w:val="28"/>
          <w:szCs w:val="28"/>
          <w:lang w:val="en-US" w:eastAsia="zh-CN"/>
        </w:rPr>
        <w:t>1、2012年9月第一批营改增试点时，融资租赁被纳入营改增范围，在此之前的老项目可以根据合同约定的内容对本金，资金的利息进行差额扣除，仅就扣除后的余额为销售额，对此部分销售额，缴纳5%的营业税。</w:t>
      </w:r>
    </w:p>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t>2、2016年5月1日全国全行业营业税改征增值税，对于5月1日之前签订的合同，仍然执行财税106号文和财税16号文，扣除差额后的余额为销售额，其中融资租赁项目设备必须取得客户开具的本金发票（普通发票），银行扣除的利息需要取得银行的利息单据，无法取得相应凭据的要按收取租金本金的全额缴纳增值税。</w:t>
      </w:r>
    </w:p>
    <w:p>
      <w:pPr>
        <w:rPr>
          <w:sz w:val="28"/>
          <w:szCs w:val="28"/>
        </w:rPr>
      </w:pPr>
      <w:r>
        <w:rPr>
          <w:sz w:val="28"/>
          <w:szCs w:val="28"/>
        </w:rPr>
        <w:drawing>
          <wp:inline distT="0" distB="0" distL="114300" distR="114300">
            <wp:extent cx="5270500" cy="2689225"/>
            <wp:effectExtent l="0" t="0" r="6350"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0500" cy="2689225"/>
                    </a:xfrm>
                    <a:prstGeom prst="rect">
                      <a:avLst/>
                    </a:prstGeom>
                    <a:noFill/>
                    <a:ln w="9525">
                      <a:noFill/>
                    </a:ln>
                  </pic:spPr>
                </pic:pic>
              </a:graphicData>
            </a:graphic>
          </wp:inline>
        </w:drawing>
      </w:r>
    </w:p>
    <w:p>
      <w:pPr>
        <w:rPr>
          <w:sz w:val="28"/>
          <w:szCs w:val="28"/>
        </w:rPr>
      </w:pPr>
      <w:r>
        <w:rPr>
          <w:sz w:val="28"/>
          <w:szCs w:val="28"/>
        </w:rPr>
        <w:drawing>
          <wp:inline distT="0" distB="0" distL="114300" distR="114300">
            <wp:extent cx="5268595" cy="3743960"/>
            <wp:effectExtent l="0" t="0" r="825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68595" cy="3743960"/>
                    </a:xfrm>
                    <a:prstGeom prst="rect">
                      <a:avLst/>
                    </a:prstGeom>
                    <a:noFill/>
                    <a:ln w="9525">
                      <a:noFill/>
                    </a:ln>
                  </pic:spPr>
                </pic:pic>
              </a:graphicData>
            </a:graphic>
          </wp:inline>
        </w:drawing>
      </w:r>
    </w:p>
    <w:p>
      <w:pPr>
        <w:numPr>
          <w:ilvl w:val="0"/>
          <w:numId w:val="4"/>
        </w:numPr>
        <w:rPr>
          <w:rFonts w:hint="eastAsia"/>
          <w:sz w:val="28"/>
          <w:szCs w:val="28"/>
          <w:lang w:val="en-US" w:eastAsia="zh-CN"/>
        </w:rPr>
      </w:pPr>
      <w:r>
        <w:rPr>
          <w:rFonts w:hint="eastAsia"/>
          <w:sz w:val="28"/>
          <w:szCs w:val="28"/>
          <w:lang w:val="en-US" w:eastAsia="zh-CN"/>
        </w:rPr>
        <w:t>新项目的执行</w:t>
      </w:r>
    </w:p>
    <w:p>
      <w:pPr>
        <w:numPr>
          <w:ilvl w:val="0"/>
          <w:numId w:val="5"/>
        </w:numPr>
        <w:rPr>
          <w:rFonts w:hint="eastAsia"/>
          <w:sz w:val="28"/>
          <w:szCs w:val="28"/>
          <w:lang w:val="en-US" w:eastAsia="zh-CN"/>
        </w:rPr>
      </w:pPr>
      <w:r>
        <w:rPr>
          <w:rFonts w:hint="eastAsia"/>
          <w:sz w:val="28"/>
          <w:szCs w:val="28"/>
          <w:lang w:val="en-US" w:eastAsia="zh-CN"/>
        </w:rPr>
        <w:t>定义</w:t>
      </w:r>
    </w:p>
    <w:p>
      <w:pPr>
        <w:numPr>
          <w:ilvl w:val="0"/>
          <w:numId w:val="6"/>
        </w:numPr>
        <w:rPr>
          <w:rFonts w:hint="eastAsia"/>
          <w:sz w:val="28"/>
          <w:szCs w:val="28"/>
          <w:lang w:val="en-US" w:eastAsia="zh-CN"/>
        </w:rPr>
      </w:pPr>
      <w:r>
        <w:rPr>
          <w:rFonts w:hint="eastAsia"/>
          <w:sz w:val="28"/>
          <w:szCs w:val="28"/>
          <w:lang w:val="en-US" w:eastAsia="zh-CN"/>
        </w:rPr>
        <w:t>融资性售后回租，是指承租方以融资为目的，将资产出售给从事融资性售后回租业务的企业后，从事融资性售后回租的企业将该资产出租给承租方的业务活动。</w:t>
      </w:r>
    </w:p>
    <w:p>
      <w:pPr>
        <w:numPr>
          <w:numId w:val="0"/>
        </w:numPr>
        <w:rPr>
          <w:rFonts w:hint="eastAsia"/>
          <w:sz w:val="28"/>
          <w:szCs w:val="28"/>
          <w:lang w:val="en-US" w:eastAsia="zh-CN"/>
        </w:rPr>
      </w:pPr>
      <w:r>
        <w:rPr>
          <w:rFonts w:hint="eastAsia"/>
          <w:sz w:val="28"/>
          <w:szCs w:val="28"/>
          <w:lang w:val="en-US" w:eastAsia="zh-CN"/>
        </w:rPr>
        <w:t>融资租赁售后回租业务，按照金融服务项下的贷款服务缴纳增值税，税率6%，不得扣除本金和进项税额，银行扣除的利息只能开具增值税普通发票。</w:t>
      </w:r>
    </w:p>
    <w:p>
      <w:pPr>
        <w:numPr>
          <w:numId w:val="0"/>
        </w:numPr>
        <w:rPr>
          <w:rFonts w:hint="eastAsia"/>
          <w:sz w:val="28"/>
          <w:szCs w:val="28"/>
          <w:lang w:val="en-US" w:eastAsia="zh-CN"/>
        </w:rPr>
      </w:pPr>
      <w:r>
        <w:rPr>
          <w:rFonts w:hint="eastAsia"/>
          <w:sz w:val="28"/>
          <w:szCs w:val="28"/>
          <w:lang w:val="en-US" w:eastAsia="zh-CN"/>
        </w:rPr>
        <w:t>2、融资租赁直租业务按照标的物的不同，区分为有形动产融资租赁业务和不动产融资租赁业务，按类别分别执行以下政策</w:t>
      </w:r>
    </w:p>
    <w:p>
      <w:pPr>
        <w:numPr>
          <w:numId w:val="0"/>
        </w:numPr>
        <w:rPr>
          <w:rFonts w:hint="eastAsia"/>
          <w:sz w:val="28"/>
          <w:szCs w:val="28"/>
          <w:lang w:val="en-US" w:eastAsia="zh-CN"/>
        </w:rPr>
      </w:pPr>
      <w:r>
        <w:rPr>
          <w:rFonts w:hint="eastAsia"/>
          <w:sz w:val="28"/>
          <w:szCs w:val="28"/>
          <w:lang w:val="en-US" w:eastAsia="zh-CN"/>
        </w:rPr>
        <w:t>（1）有形动产融资租赁业务，增值税率17%，比如汽车</w:t>
      </w:r>
    </w:p>
    <w:p>
      <w:pPr>
        <w:numPr>
          <w:numId w:val="0"/>
        </w:numPr>
        <w:rPr>
          <w:rFonts w:hint="eastAsia"/>
          <w:sz w:val="28"/>
          <w:szCs w:val="28"/>
          <w:lang w:val="en-US" w:eastAsia="zh-CN"/>
        </w:rPr>
      </w:pPr>
      <w:r>
        <w:rPr>
          <w:rFonts w:hint="eastAsia"/>
          <w:sz w:val="28"/>
          <w:szCs w:val="28"/>
          <w:lang w:val="en-US" w:eastAsia="zh-CN"/>
        </w:rPr>
        <w:t xml:space="preserve">（2）不动产融资租赁业务，增值税率11%，比如房子，厂房，以及附着在土地上不可分割的厂房和大型设备   </w:t>
      </w: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营改增过度政策中对于销售额的界定</w:t>
      </w:r>
    </w:p>
    <w:p>
      <w:pPr>
        <w:numPr>
          <w:ilvl w:val="0"/>
          <w:numId w:val="0"/>
        </w:numPr>
        <w:rPr>
          <w:rFonts w:hint="default"/>
          <w:sz w:val="28"/>
          <w:szCs w:val="28"/>
          <w:lang w:val="en-US" w:eastAsia="zh-CN"/>
        </w:rPr>
      </w:pPr>
      <w:r>
        <w:rPr>
          <w:rFonts w:hint="eastAsia"/>
          <w:sz w:val="28"/>
          <w:szCs w:val="28"/>
          <w:lang w:val="en-US" w:eastAsia="zh-CN"/>
        </w:rPr>
        <w:t>融资租赁和融资性售后回租业务:</w:t>
      </w:r>
    </w:p>
    <w:p>
      <w:pPr>
        <w:numPr>
          <w:ilvl w:val="0"/>
          <w:numId w:val="0"/>
        </w:numPr>
        <w:rPr>
          <w:rFonts w:hint="default"/>
          <w:sz w:val="28"/>
          <w:szCs w:val="28"/>
          <w:lang w:val="en-US" w:eastAsia="zh-CN"/>
        </w:rPr>
      </w:pPr>
      <w:r>
        <w:rPr>
          <w:rFonts w:hint="eastAsia"/>
          <w:sz w:val="28"/>
          <w:szCs w:val="28"/>
          <w:lang w:val="en-US" w:eastAsia="zh-CN"/>
        </w:rPr>
        <w:t>（1）经人民银行、银监会或者商务部批准从事融资租赁业务的试点纳税人，提供融资租赁服务，以取得的全部价款和价外费用，扣除支付的借款利息（包括外汇借款和人民币借款利息）、发行债券利息和车辆购置税后的余额为销售额。</w:t>
      </w:r>
    </w:p>
    <w:p>
      <w:pPr>
        <w:numPr>
          <w:ilvl w:val="0"/>
          <w:numId w:val="0"/>
        </w:numPr>
        <w:rPr>
          <w:rFonts w:hint="default"/>
          <w:sz w:val="28"/>
          <w:szCs w:val="28"/>
          <w:lang w:val="en-US" w:eastAsia="zh-CN"/>
        </w:rPr>
      </w:pPr>
      <w:r>
        <w:rPr>
          <w:rFonts w:hint="eastAsia"/>
          <w:sz w:val="28"/>
          <w:szCs w:val="28"/>
          <w:lang w:val="en-US" w:eastAsia="zh-CN"/>
        </w:rPr>
        <w:t>（2）经人民银行、银监会或者商务部批准从事融资租赁业务的试点纳税人，提供融资性售后回租服务，以取得的全部价款和价外费用（</w:t>
      </w:r>
      <w:r>
        <w:rPr>
          <w:rFonts w:hint="eastAsia"/>
          <w:sz w:val="28"/>
          <w:szCs w:val="28"/>
          <w:shd w:val="clear" w:color="FFFFFF" w:fill="D9D9D9"/>
          <w:lang w:val="en-US" w:eastAsia="zh-CN"/>
        </w:rPr>
        <w:t>不含本金</w:t>
      </w:r>
      <w:r>
        <w:rPr>
          <w:rFonts w:hint="eastAsia"/>
          <w:sz w:val="28"/>
          <w:szCs w:val="28"/>
          <w:lang w:val="en-US" w:eastAsia="zh-CN"/>
        </w:rPr>
        <w:t>），扣除对外支付的借款利息（包括外汇借款和人民币借款利息）、发行债券利息后的余额作为销售额。</w:t>
      </w:r>
    </w:p>
    <w:p>
      <w:pPr>
        <w:numPr>
          <w:ilvl w:val="0"/>
          <w:numId w:val="0"/>
        </w:numPr>
        <w:rPr>
          <w:rFonts w:hint="default"/>
          <w:sz w:val="28"/>
          <w:szCs w:val="28"/>
          <w:lang w:val="en-US" w:eastAsia="zh-CN"/>
        </w:rPr>
      </w:pPr>
      <w:r>
        <w:rPr>
          <w:rFonts w:hint="eastAsia"/>
          <w:sz w:val="28"/>
          <w:szCs w:val="28"/>
          <w:lang w:val="en-US" w:eastAsia="zh-CN"/>
        </w:rPr>
        <w:t>（3）试点纳税人根据2016年4月30日前签订的有形动产融资性售后回租合同，在合同到期前提供的有形动产融资性售后回租服务，可继续按照有形动产融资租赁服务缴纳增值税。</w:t>
      </w:r>
    </w:p>
    <w:p>
      <w:pPr>
        <w:numPr>
          <w:ilvl w:val="0"/>
          <w:numId w:val="0"/>
        </w:numPr>
        <w:rPr>
          <w:rFonts w:hint="default"/>
          <w:sz w:val="28"/>
          <w:szCs w:val="28"/>
          <w:lang w:val="en-US" w:eastAsia="zh-CN"/>
        </w:rPr>
      </w:pPr>
      <w:r>
        <w:rPr>
          <w:rFonts w:hint="eastAsia"/>
          <w:sz w:val="28"/>
          <w:szCs w:val="28"/>
          <w:lang w:val="en-US" w:eastAsia="zh-CN"/>
        </w:rPr>
        <w:t>继续按照有形动产融资租赁服务缴纳增值税的试点纳税人,经人民银行、银监会或者商务部批准从事融资租赁业务的，根据2016年4月30日前签订的有形动产融资性售后回租合同，在合同到期前提供的有形动产融资性售后回租服务，可以选择以下方法之一计算销售额：</w:t>
      </w:r>
    </w:p>
    <w:p>
      <w:pPr>
        <w:numPr>
          <w:ilvl w:val="0"/>
          <w:numId w:val="0"/>
        </w:numPr>
        <w:rPr>
          <w:rFonts w:hint="default"/>
          <w:sz w:val="28"/>
          <w:szCs w:val="28"/>
          <w:lang w:val="en-US" w:eastAsia="zh-CN"/>
        </w:rPr>
      </w:pPr>
      <w:r>
        <w:rPr>
          <w:rFonts w:hint="eastAsia"/>
          <w:sz w:val="28"/>
          <w:szCs w:val="28"/>
          <w:lang w:val="en-US" w:eastAsia="zh-CN"/>
        </w:rPr>
        <w:t>①以向承租方收取的全部价款和价外费用，扣除向承租方收取的价款本金，以及对外支付的借款利息（包括外汇借款和人民币借款利息）、发行债券利息后的余额为销售额。</w:t>
      </w:r>
    </w:p>
    <w:p>
      <w:pPr>
        <w:numPr>
          <w:ilvl w:val="0"/>
          <w:numId w:val="0"/>
        </w:numPr>
        <w:rPr>
          <w:rFonts w:hint="default"/>
          <w:sz w:val="28"/>
          <w:szCs w:val="28"/>
          <w:lang w:val="en-US" w:eastAsia="zh-CN"/>
        </w:rPr>
      </w:pPr>
      <w:r>
        <w:rPr>
          <w:rFonts w:hint="eastAsia"/>
          <w:sz w:val="28"/>
          <w:szCs w:val="28"/>
          <w:lang w:val="en-US" w:eastAsia="zh-CN"/>
        </w:rPr>
        <w:t>纳税人提供有形动产融资性售后回租服务，计算当期销售额时可以扣除的价款本金，为书面合同约定的当期应当收取的本金。无书面合同或者书面合同没有约定的，为当期实际收取的本金。</w:t>
      </w:r>
    </w:p>
    <w:p>
      <w:pPr>
        <w:numPr>
          <w:ilvl w:val="0"/>
          <w:numId w:val="0"/>
        </w:numPr>
        <w:rPr>
          <w:rFonts w:hint="default"/>
          <w:color w:val="auto"/>
          <w:sz w:val="28"/>
          <w:szCs w:val="28"/>
          <w:shd w:val="clear" w:color="FFFFFF" w:fill="D9D9D9"/>
          <w:lang w:val="en-US" w:eastAsia="zh-CN"/>
        </w:rPr>
      </w:pPr>
      <w:r>
        <w:rPr>
          <w:rFonts w:hint="eastAsia"/>
          <w:color w:val="auto"/>
          <w:sz w:val="28"/>
          <w:szCs w:val="28"/>
          <w:shd w:val="clear" w:color="FFFFFF" w:fill="D9D9D9"/>
          <w:lang w:val="en-US" w:eastAsia="zh-CN"/>
        </w:rPr>
        <w:t>试点纳税人提供有形动产融资性售后回租服务，向承租方收取的有形动产价款本金，不得开具增值税专用发票，可以开具普通发票。</w:t>
      </w:r>
    </w:p>
    <w:p>
      <w:pPr>
        <w:numPr>
          <w:ilvl w:val="0"/>
          <w:numId w:val="0"/>
        </w:numPr>
        <w:rPr>
          <w:rFonts w:hint="eastAsia"/>
          <w:sz w:val="28"/>
          <w:szCs w:val="28"/>
          <w:lang w:val="en-US" w:eastAsia="zh-CN"/>
        </w:rPr>
      </w:pPr>
      <w:r>
        <w:rPr>
          <w:rFonts w:hint="eastAsia"/>
          <w:sz w:val="28"/>
          <w:szCs w:val="28"/>
          <w:lang w:val="en-US" w:eastAsia="zh-CN"/>
        </w:rPr>
        <w:t>②以向承租方收取的全部价款和价外费用，扣除支付的借款利息（包括外汇借款和人民币借款利息）、发行债券利息后的余额为销售额。</w:t>
      </w:r>
    </w:p>
    <w:p>
      <w:pPr>
        <w:numPr>
          <w:ilvl w:val="0"/>
          <w:numId w:val="0"/>
        </w:numPr>
        <w:rPr>
          <w:rFonts w:hint="eastAsia"/>
          <w:sz w:val="28"/>
          <w:szCs w:val="28"/>
          <w:lang w:val="en-US" w:eastAsia="zh-CN"/>
        </w:rPr>
      </w:pPr>
      <w:r>
        <w:rPr>
          <w:rFonts w:hint="eastAsia"/>
          <w:sz w:val="28"/>
          <w:szCs w:val="28"/>
          <w:lang w:val="en-US" w:eastAsia="zh-CN"/>
        </w:rPr>
        <w:t>（4）经商务部授权的省级商务主管部门和国家经济技术开发区批准的从事融资租赁业务的试点纳税人，2016年5月1日后实收资本达到1.7亿元的，从达到标准的当月起按照上述第（1）、（2）、（3）点规定执行；2016年5月1日后实收资本未达到1.7亿元但注册资本达到1.7亿元的，在2016年7月31日前仍可按照上述第（1）、（2）、（3）点规定执行，2016年8月1日后开展的融资租赁业务和融资性售后回租业务不得按照上述第（1）、（2）、（3）点规定执行。</w:t>
      </w:r>
    </w:p>
    <w:p>
      <w:pPr>
        <w:numPr>
          <w:ilvl w:val="0"/>
          <w:numId w:val="0"/>
        </w:numPr>
        <w:rPr>
          <w:rFonts w:hint="default"/>
          <w:sz w:val="28"/>
          <w:szCs w:val="28"/>
          <w:lang w:val="en-US" w:eastAsia="zh-CN"/>
        </w:rPr>
      </w:pPr>
      <w:r>
        <w:rPr>
          <w:rFonts w:hint="eastAsia"/>
          <w:sz w:val="28"/>
          <w:szCs w:val="28"/>
          <w:lang w:val="en-US" w:eastAsia="zh-CN"/>
        </w:rPr>
        <w:t>理解：</w:t>
      </w:r>
    </w:p>
    <w:p>
      <w:pPr>
        <w:numPr>
          <w:ilvl w:val="0"/>
          <w:numId w:val="0"/>
        </w:numPr>
        <w:rPr>
          <w:rFonts w:hint="default"/>
          <w:sz w:val="28"/>
          <w:szCs w:val="28"/>
          <w:lang w:val="en-US" w:eastAsia="zh-CN"/>
        </w:rPr>
      </w:pPr>
      <w:r>
        <w:rPr>
          <w:rFonts w:hint="eastAsia"/>
          <w:sz w:val="28"/>
          <w:szCs w:val="28"/>
          <w:lang w:val="en-US" w:eastAsia="zh-CN"/>
        </w:rPr>
        <w:t>1、售后回租：贷款服务里面的计税依据是利息收入，本金部分不征税，售后回租作为贷款服务，销售额里面就不应该包含本金，考虑到政策延续，另外给了售后回租差额征税的优惠，其它贷款服务是没有的，银行不可以扣除转贷的利息，而售后回租可以。</w:t>
      </w:r>
    </w:p>
    <w:p>
      <w:pPr>
        <w:numPr>
          <w:ilvl w:val="0"/>
          <w:numId w:val="0"/>
        </w:numPr>
        <w:rPr>
          <w:rFonts w:hint="default"/>
          <w:sz w:val="28"/>
          <w:szCs w:val="28"/>
          <w:lang w:val="en-US" w:eastAsia="zh-CN"/>
        </w:rPr>
      </w:pPr>
      <w:r>
        <w:rPr>
          <w:rFonts w:hint="eastAsia"/>
          <w:sz w:val="28"/>
          <w:szCs w:val="28"/>
          <w:lang w:val="en-US" w:eastAsia="zh-CN"/>
        </w:rPr>
        <w:t>2、老合同老规定，4月30日之前签订的合同仅针对于有形动产融资性售后回租。具体内容都是之前106号文的延续。</w:t>
      </w:r>
    </w:p>
    <w:p>
      <w:pPr>
        <w:numPr>
          <w:ilvl w:val="0"/>
          <w:numId w:val="0"/>
        </w:numPr>
        <w:rPr>
          <w:rFonts w:hint="default"/>
          <w:sz w:val="28"/>
          <w:szCs w:val="28"/>
          <w:lang w:val="en-US" w:eastAsia="zh-CN"/>
        </w:rPr>
      </w:pPr>
      <w:r>
        <w:rPr>
          <w:rFonts w:hint="eastAsia"/>
          <w:sz w:val="28"/>
          <w:szCs w:val="28"/>
          <w:lang w:val="en-US" w:eastAsia="zh-CN"/>
        </w:rPr>
        <w:t>3、纳税人资质，与106号文变化，写到实收资本的概念，融资租赁的大前提是要经批准，才能享受差额征税，商务部可以授权省级商务部审批，条件要一样，工商制度改革，改为注册制，注册资本1.7亿，不一定实收资本有这么多，需要实收资本1.7亿元，以实现新旧纳税人的平等，没有达到的，给三个月的过渡期，到期还不行的不能享受差额征税的规定（指不得扣除融资利息）。</w:t>
      </w:r>
    </w:p>
    <w:p>
      <w:pPr>
        <w:numPr>
          <w:ilvl w:val="0"/>
          <w:numId w:val="0"/>
        </w:numPr>
        <w:rPr>
          <w:rFonts w:hint="default"/>
          <w:sz w:val="28"/>
          <w:szCs w:val="28"/>
          <w:lang w:val="en-US" w:eastAsia="zh-CN"/>
        </w:rPr>
      </w:pPr>
      <w:r>
        <w:rPr>
          <w:rFonts w:hint="eastAsia"/>
          <w:sz w:val="28"/>
          <w:szCs w:val="28"/>
          <w:lang w:val="en-US" w:eastAsia="zh-CN"/>
        </w:rPr>
        <w:t>4、融资租赁服务仍采取差额的方式确定销售额，允许扣除的项目中删除保险费和安装费，主要原因是保险服务、安装服务已经纳入增值税征收范围，购买保险服务、安装服务时已支付或负担的增值税额，可以按规定作为进项税额予以抵扣，无需再采取从销售额中扣除的方式。</w:t>
      </w:r>
    </w:p>
    <w:p>
      <w:pPr>
        <w:numPr>
          <w:ilvl w:val="0"/>
          <w:numId w:val="0"/>
        </w:numPr>
        <w:rPr>
          <w:rFonts w:hint="default"/>
          <w:sz w:val="28"/>
          <w:szCs w:val="28"/>
          <w:lang w:val="en-US" w:eastAsia="zh-CN"/>
        </w:rPr>
      </w:pPr>
      <w:r>
        <w:rPr>
          <w:rFonts w:hint="eastAsia"/>
          <w:sz w:val="28"/>
          <w:szCs w:val="28"/>
          <w:lang w:val="en-US" w:eastAsia="zh-CN"/>
        </w:rPr>
        <w:t>5、按照上述规定差额确定销售额的试点纳税人，必须是经人民银行、银监会或者商务部批准从事融资租赁业务的企业，或者属于满足（4）点规定的经商务部授权的省级商务主管部门和国家经济技术开发区批准的从事融资租赁业务的企业。</w:t>
      </w:r>
    </w:p>
    <w:p>
      <w:pPr>
        <w:numPr>
          <w:ilvl w:val="0"/>
          <w:numId w:val="0"/>
        </w:numPr>
        <w:rPr>
          <w:rFonts w:hint="default"/>
          <w:sz w:val="28"/>
          <w:szCs w:val="28"/>
          <w:lang w:val="en-US" w:eastAsia="zh-CN"/>
        </w:rPr>
      </w:pPr>
      <w:r>
        <w:rPr>
          <w:rFonts w:hint="eastAsia"/>
          <w:sz w:val="28"/>
          <w:szCs w:val="28"/>
          <w:lang w:val="en-US" w:eastAsia="zh-CN"/>
        </w:rPr>
        <w:t>6、对融资性售后回租服务继续以差额方式确定销售额。在营改增试点期间，2016 年4 月30 日前签订的有形动产融资性售后回租合同，在合同到期前提供的有形动产融资性售后回租服务，可继续按照有形动产融资租赁服务缴纳增值税（17%）。</w:t>
      </w:r>
    </w:p>
    <w:p>
      <w:pPr>
        <w:numPr>
          <w:ilvl w:val="0"/>
          <w:numId w:val="0"/>
        </w:numPr>
        <w:rPr>
          <w:rFonts w:hint="default"/>
          <w:sz w:val="28"/>
          <w:szCs w:val="28"/>
          <w:lang w:val="en-US" w:eastAsia="zh-CN"/>
        </w:rPr>
      </w:pPr>
      <w:r>
        <w:rPr>
          <w:rFonts w:hint="eastAsia"/>
          <w:sz w:val="28"/>
          <w:szCs w:val="28"/>
          <w:lang w:val="en-US" w:eastAsia="zh-CN"/>
        </w:rPr>
        <w:t>6、贷款服务的销售额为提供贷款服务取得的全部利息及利息性质的收入，不含贷款本金。因此，提供融资性售后回租服务取得的全部价款和价外费用中也不包含本金。</w:t>
      </w:r>
    </w:p>
    <w:p>
      <w:pPr>
        <w:numPr>
          <w:ilvl w:val="0"/>
          <w:numId w:val="0"/>
        </w:numPr>
        <w:rPr>
          <w:rFonts w:hint="default"/>
          <w:sz w:val="28"/>
          <w:szCs w:val="28"/>
          <w:lang w:val="en-US" w:eastAsia="zh-CN"/>
        </w:rPr>
      </w:pPr>
      <w:r>
        <w:rPr>
          <w:rFonts w:hint="eastAsia"/>
          <w:sz w:val="28"/>
          <w:szCs w:val="28"/>
          <w:lang w:val="en-US" w:eastAsia="zh-CN"/>
        </w:rPr>
        <w:t>五、优惠政策</w:t>
      </w:r>
    </w:p>
    <w:p>
      <w:pPr>
        <w:numPr>
          <w:ilvl w:val="0"/>
          <w:numId w:val="0"/>
        </w:numPr>
        <w:rPr>
          <w:rFonts w:hint="default"/>
          <w:sz w:val="28"/>
          <w:szCs w:val="28"/>
          <w:lang w:val="en-US" w:eastAsia="zh-CN"/>
        </w:rPr>
      </w:pPr>
      <w:r>
        <w:rPr>
          <w:rFonts w:hint="eastAsia"/>
          <w:sz w:val="28"/>
          <w:szCs w:val="28"/>
          <w:lang w:val="en-US" w:eastAsia="zh-CN"/>
        </w:rPr>
        <w:t>融资租赁和融资性售后回租：经人民银行、银监会或者商务部批准从事融资租赁业务的试点纳税人中的一般纳税人，提供有形动产融资租赁服务和有形动产融资性售后回租服务，对其增值税实际税负超过3%的部分实行增值税即征即退政策。理解：基本平移了106号文相关政策规定，注意在不动产纳入营改增试点以后，售后回租业务可以享受即征即退政策的仍然仅限于有形动产的融资性售后回租，不包括不动产的融资性售后回租。</w:t>
      </w:r>
    </w:p>
    <w:p>
      <w:pPr>
        <w:numPr>
          <w:ilvl w:val="0"/>
          <w:numId w:val="0"/>
        </w:numPr>
        <w:rPr>
          <w:rFonts w:hint="default"/>
          <w:sz w:val="28"/>
          <w:szCs w:val="28"/>
          <w:lang w:val="en-US" w:eastAsia="zh-CN"/>
        </w:rPr>
      </w:pPr>
      <w:r>
        <w:rPr>
          <w:rFonts w:hint="eastAsia"/>
          <w:sz w:val="28"/>
          <w:szCs w:val="28"/>
          <w:lang w:val="en-US" w:eastAsia="zh-CN"/>
        </w:rPr>
        <w:t>注：</w:t>
      </w:r>
    </w:p>
    <w:p>
      <w:pPr>
        <w:numPr>
          <w:ilvl w:val="0"/>
          <w:numId w:val="0"/>
        </w:numPr>
        <w:rPr>
          <w:rFonts w:hint="default"/>
          <w:sz w:val="28"/>
          <w:szCs w:val="28"/>
          <w:lang w:val="en-US" w:eastAsia="zh-CN"/>
        </w:rPr>
      </w:pPr>
      <w:r>
        <w:rPr>
          <w:rFonts w:hint="eastAsia"/>
          <w:sz w:val="28"/>
          <w:szCs w:val="28"/>
          <w:lang w:val="en-US" w:eastAsia="zh-CN"/>
        </w:rPr>
        <w:t>1、融资性售后回租虽然作为“贷款服务”征收增值税，但仍可按照上述规定享受即征即退增值税政策，但仅限于有形动产的售后回租业务。</w:t>
      </w:r>
    </w:p>
    <w:p>
      <w:pPr>
        <w:numPr>
          <w:ilvl w:val="0"/>
          <w:numId w:val="0"/>
        </w:numPr>
        <w:rPr>
          <w:rFonts w:hint="default"/>
          <w:sz w:val="28"/>
          <w:szCs w:val="28"/>
          <w:lang w:val="en-US" w:eastAsia="zh-CN"/>
        </w:rPr>
      </w:pPr>
      <w:r>
        <w:rPr>
          <w:rFonts w:hint="eastAsia"/>
          <w:sz w:val="28"/>
          <w:szCs w:val="28"/>
          <w:lang w:val="en-US" w:eastAsia="zh-CN"/>
        </w:rPr>
        <w:t>2、小规模纳税人不适用即征即退。</w:t>
      </w:r>
    </w:p>
    <w:p>
      <w:pPr>
        <w:numPr>
          <w:ilvl w:val="0"/>
          <w:numId w:val="0"/>
        </w:numPr>
        <w:rPr>
          <w:rFonts w:hint="default"/>
          <w:sz w:val="28"/>
          <w:szCs w:val="28"/>
          <w:lang w:val="en-US" w:eastAsia="zh-CN"/>
        </w:rPr>
      </w:pPr>
    </w:p>
    <w:p>
      <w:pPr>
        <w:numPr>
          <w:ilvl w:val="0"/>
          <w:numId w:val="0"/>
        </w:numPr>
        <w:rPr>
          <w:rFonts w:hint="eastAsia"/>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仿宋">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7E01FB"/>
    <w:multiLevelType w:val="singleLevel"/>
    <w:tmpl w:val="577E01FB"/>
    <w:lvl w:ilvl="0" w:tentative="0">
      <w:start w:val="2"/>
      <w:numFmt w:val="chineseCounting"/>
      <w:suff w:val="nothing"/>
      <w:lvlText w:val="（%1）"/>
      <w:lvlJc w:val="left"/>
    </w:lvl>
  </w:abstractNum>
  <w:abstractNum w:abstractNumId="1">
    <w:nsid w:val="577E076E"/>
    <w:multiLevelType w:val="singleLevel"/>
    <w:tmpl w:val="577E076E"/>
    <w:lvl w:ilvl="0" w:tentative="0">
      <w:start w:val="1"/>
      <w:numFmt w:val="chineseCounting"/>
      <w:suff w:val="nothing"/>
      <w:lvlText w:val="%1、"/>
      <w:lvlJc w:val="left"/>
    </w:lvl>
  </w:abstractNum>
  <w:abstractNum w:abstractNumId="2">
    <w:nsid w:val="577E099C"/>
    <w:multiLevelType w:val="singleLevel"/>
    <w:tmpl w:val="577E099C"/>
    <w:lvl w:ilvl="0" w:tentative="0">
      <w:start w:val="1"/>
      <w:numFmt w:val="chineseCounting"/>
      <w:suff w:val="nothing"/>
      <w:lvlText w:val="%1、"/>
      <w:lvlJc w:val="left"/>
    </w:lvl>
  </w:abstractNum>
  <w:abstractNum w:abstractNumId="3">
    <w:nsid w:val="577E0A27"/>
    <w:multiLevelType w:val="singleLevel"/>
    <w:tmpl w:val="577E0A27"/>
    <w:lvl w:ilvl="0" w:tentative="0">
      <w:start w:val="1"/>
      <w:numFmt w:val="decimal"/>
      <w:suff w:val="nothing"/>
      <w:lvlText w:val="%1、"/>
      <w:lvlJc w:val="left"/>
    </w:lvl>
  </w:abstractNum>
  <w:abstractNum w:abstractNumId="4">
    <w:nsid w:val="577E0AD2"/>
    <w:multiLevelType w:val="singleLevel"/>
    <w:tmpl w:val="577E0AD2"/>
    <w:lvl w:ilvl="0" w:tentative="0">
      <w:start w:val="1"/>
      <w:numFmt w:val="chineseCounting"/>
      <w:suff w:val="nothing"/>
      <w:lvlText w:val="（%1）"/>
      <w:lvlJc w:val="left"/>
    </w:lvl>
  </w:abstractNum>
  <w:abstractNum w:abstractNumId="5">
    <w:nsid w:val="577E0C7E"/>
    <w:multiLevelType w:val="singleLevel"/>
    <w:tmpl w:val="577E0C7E"/>
    <w:lvl w:ilvl="0" w:tentative="0">
      <w:start w:val="2"/>
      <w:numFmt w:val="decimal"/>
      <w:suff w:val="nothing"/>
      <w:lvlText w:val="%1、"/>
      <w:lvlJc w:val="left"/>
    </w:lvl>
  </w:abstractNum>
  <w:num w:numId="1">
    <w:abstractNumId w:val="1"/>
  </w:num>
  <w:num w:numId="2">
    <w:abstractNumId w:val="4"/>
  </w:num>
  <w:num w:numId="3">
    <w:abstractNumId w:val="5"/>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5A530B"/>
    <w:rsid w:val="316B2F0C"/>
    <w:rsid w:val="4D340692"/>
    <w:rsid w:val="66FC1638"/>
    <w:rsid w:val="675A530B"/>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5">
    <w:name w:val="Normal Table"/>
    <w:semiHidden/>
    <w:uiPriority w:val="0"/>
    <w:tblPr>
      <w:tblLayout w:type="fixed"/>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4">
    <w:name w:val="Strong"/>
    <w:basedOn w:val="3"/>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Office_10.1.0.5777_F1E327BC-269C-435d-A152-05C5408002CA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2016-07-07T07:07:00Z</dcterms:created>
  <dc:creator>egic0016</dc:creator>
  <cp:lastModifiedBy>egic0016</cp:lastModifiedBy>
  <cp:lastPrinted>2016-07-07T08:48:03Z</cp:lastPrinted>
  <dcterms:modified xsi:type="dcterms:W3CDTF">2016-07-07T08:51:00Z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