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FF110" w14:textId="77777777" w:rsidR="005D24FA" w:rsidRDefault="005D24FA" w:rsidP="005D24FA">
      <w:pPr>
        <w:pBdr>
          <w:bottom w:val="single" w:sz="6" w:space="1" w:color="auto"/>
        </w:pBdr>
        <w:spacing w:line="360" w:lineRule="auto"/>
        <w:jc w:val="center"/>
        <w:rPr>
          <w:b/>
        </w:rPr>
      </w:pPr>
      <w:r>
        <w:rPr>
          <w:b/>
        </w:rPr>
        <w:t>Proposition de corrigé pour le DST</w:t>
      </w:r>
    </w:p>
    <w:p w14:paraId="333FF843" w14:textId="77777777" w:rsidR="005D24FA" w:rsidRPr="00B040C4" w:rsidRDefault="005D24FA" w:rsidP="005D24FA">
      <w:pPr>
        <w:pBdr>
          <w:bottom w:val="single" w:sz="6" w:space="1" w:color="auto"/>
        </w:pBdr>
        <w:spacing w:line="360" w:lineRule="auto"/>
        <w:jc w:val="center"/>
        <w:rPr>
          <w:b/>
        </w:rPr>
      </w:pPr>
      <w:r>
        <w:rPr>
          <w:b/>
        </w:rPr>
        <w:t>« Alchimie de la douleur »</w:t>
      </w:r>
      <w:r w:rsidRPr="00B83322">
        <w:rPr>
          <w:b/>
        </w:rPr>
        <w:t xml:space="preserve"> de Charles </w:t>
      </w:r>
      <w:r w:rsidRPr="00B83322">
        <w:rPr>
          <w:b/>
          <w:smallCaps/>
          <w:szCs w:val="22"/>
        </w:rPr>
        <w:t>Baudelaire</w:t>
      </w:r>
    </w:p>
    <w:p w14:paraId="3823E926" w14:textId="77777777" w:rsidR="005D24FA" w:rsidRDefault="005D24FA" w:rsidP="005D24FA">
      <w:pPr>
        <w:spacing w:line="360" w:lineRule="auto"/>
        <w:jc w:val="center"/>
      </w:pPr>
    </w:p>
    <w:p w14:paraId="54B4233B" w14:textId="77777777" w:rsidR="005D24FA" w:rsidRDefault="005D24FA" w:rsidP="005D24FA">
      <w:pPr>
        <w:spacing w:line="360" w:lineRule="auto"/>
      </w:pPr>
      <w:r>
        <w:rPr>
          <w:b/>
        </w:rPr>
        <w:t>1-</w:t>
      </w:r>
      <w:r>
        <w:t xml:space="preserve"> Le recueil des </w:t>
      </w:r>
      <w:r>
        <w:rPr>
          <w:u w:val="single"/>
        </w:rPr>
        <w:t>Fleurs du mal</w:t>
      </w:r>
      <w:r>
        <w:t xml:space="preserve"> du poète Charles Baudelaire est publié en 1857. Lors de sa publication, l’ouvrage choque la bourgeoisie bien-pensante par sa volonté de mêler le beau et le sordide, la sensualité – voire l’érotisme – et le mal. Son titre oxymorique témoigne d’ailleurs de cette cohabitation du bien et du mal. Le recueil est composé de six sections qui retracent la descente aux enfers de Baudelaire, d’une aspiration à l’idéal contrecarrée par son </w:t>
      </w:r>
      <w:r>
        <w:rPr>
          <w:i/>
        </w:rPr>
        <w:t>spleen</w:t>
      </w:r>
      <w:r>
        <w:t xml:space="preserve"> (« Spleen et Idéal ») à « La mort ». Le poème étudié ici, intitulé « Alchimie de la douleur » appartient à la première section du recueil et se trouve à la 81</w:t>
      </w:r>
      <w:r w:rsidRPr="00EA322B">
        <w:rPr>
          <w:vertAlign w:val="superscript"/>
        </w:rPr>
        <w:t>ème</w:t>
      </w:r>
      <w:r>
        <w:t xml:space="preserve"> place. Ce sonnet en octosyllabes est composé de deux quatrains à rimes embrassées et de deux tercets à rimes tripartites. Dans notre poème, Baudelaire exprime son désespoir et son incapacité à dépasser son spleen.</w:t>
      </w:r>
    </w:p>
    <w:p w14:paraId="1DB872C4" w14:textId="77777777" w:rsidR="005D24FA" w:rsidRPr="008A530D" w:rsidRDefault="005D24FA" w:rsidP="005D24FA">
      <w:pPr>
        <w:spacing w:line="360" w:lineRule="auto"/>
        <w:jc w:val="center"/>
        <w:rPr>
          <w:b/>
          <w:i/>
        </w:rPr>
      </w:pPr>
      <w:r>
        <w:rPr>
          <w:b/>
          <w:i/>
        </w:rPr>
        <w:t xml:space="preserve">= présentation </w:t>
      </w:r>
      <w:r w:rsidRPr="00E74918">
        <w:rPr>
          <w:b/>
          <w:i/>
          <w:u w:val="single"/>
        </w:rPr>
        <w:t>générale</w:t>
      </w:r>
      <w:r>
        <w:rPr>
          <w:b/>
          <w:i/>
        </w:rPr>
        <w:t xml:space="preserve"> de l’œuvre et de son auteur + présentation de l’extrait (situation dans l’œuvre intégrale puis thèmes abordés dans le poème).</w:t>
      </w:r>
    </w:p>
    <w:p w14:paraId="481784FF" w14:textId="77777777" w:rsidR="005D24FA" w:rsidRDefault="005D24FA" w:rsidP="005D24FA">
      <w:pPr>
        <w:spacing w:line="360" w:lineRule="auto"/>
      </w:pPr>
    </w:p>
    <w:p w14:paraId="49560287" w14:textId="77777777" w:rsidR="005D24FA" w:rsidRPr="0072012E" w:rsidRDefault="005D24FA" w:rsidP="005D24FA">
      <w:pPr>
        <w:spacing w:line="360" w:lineRule="auto"/>
      </w:pPr>
      <w:r>
        <w:rPr>
          <w:b/>
        </w:rPr>
        <w:t>2-</w:t>
      </w:r>
      <w:r>
        <w:t xml:space="preserve"> Tout d’abord, l’alchimie est une science occulte qui recherchait la transmutation des métaux, c’est-à-dire la capacité à changer des métaux vils en or. Dans le titre du poème, ce terme est associé à la « douleur » (« de la douleur » est ici le complément du nom « alchimie »). On peut donc penser que le poète propose une alchimie inversée, qui conduit à la douleur plutôt qu’à l’or et la beauté. Peut-être est-ce aussi l’occasion pour Baudelaire de montrer que son pouvoir d’alchimiste ne le mène qu’à la souffrance.</w:t>
      </w:r>
    </w:p>
    <w:p w14:paraId="03ABD15C" w14:textId="77777777" w:rsidR="005D24FA" w:rsidRDefault="005D24FA" w:rsidP="005D24FA">
      <w:pPr>
        <w:spacing w:line="360" w:lineRule="auto"/>
      </w:pPr>
    </w:p>
    <w:p w14:paraId="718B6181" w14:textId="77777777" w:rsidR="005D24FA" w:rsidRDefault="005D24FA" w:rsidP="005D24FA">
      <w:pPr>
        <w:spacing w:line="360" w:lineRule="auto"/>
      </w:pPr>
      <w:r>
        <w:rPr>
          <w:b/>
        </w:rPr>
        <w:t>3-</w:t>
      </w:r>
      <w:r>
        <w:t xml:space="preserve"> V. 1-4 : Un poète déchiré entre la vie et la mort</w:t>
      </w:r>
    </w:p>
    <w:p w14:paraId="0B287CB7" w14:textId="77777777" w:rsidR="005D24FA" w:rsidRDefault="005D24FA" w:rsidP="005D24FA">
      <w:pPr>
        <w:spacing w:line="360" w:lineRule="auto"/>
      </w:pPr>
      <w:r>
        <w:t xml:space="preserve">    V-5-14 : Baudelaire, un alchimiste inversé</w:t>
      </w:r>
    </w:p>
    <w:p w14:paraId="2B452CDB" w14:textId="77777777" w:rsidR="005D24FA" w:rsidRDefault="005D24FA" w:rsidP="005D24FA">
      <w:pPr>
        <w:spacing w:line="360" w:lineRule="auto"/>
      </w:pPr>
    </w:p>
    <w:p w14:paraId="17D6A620" w14:textId="77777777" w:rsidR="005D24FA" w:rsidRDefault="005D24FA" w:rsidP="005D24FA">
      <w:pPr>
        <w:spacing w:line="360" w:lineRule="auto"/>
      </w:pPr>
      <w:r>
        <w:rPr>
          <w:b/>
        </w:rPr>
        <w:t xml:space="preserve">4- </w:t>
      </w:r>
      <w:r>
        <w:rPr>
          <w:i/>
        </w:rPr>
        <w:t>inconnu</w:t>
      </w:r>
      <w:r>
        <w:t xml:space="preserve">: négation lexicale par adjonction du préfixe négatif –in. Antonyme de </w:t>
      </w:r>
      <w:r>
        <w:rPr>
          <w:i/>
        </w:rPr>
        <w:t>connu</w:t>
      </w:r>
      <w:r>
        <w:t>.</w:t>
      </w:r>
    </w:p>
    <w:p w14:paraId="20AFE7ED" w14:textId="77777777" w:rsidR="005D24FA" w:rsidRDefault="005D24FA" w:rsidP="005D24FA">
      <w:pPr>
        <w:spacing w:line="360" w:lineRule="auto"/>
      </w:pPr>
    </w:p>
    <w:p w14:paraId="176141D2" w14:textId="77777777" w:rsidR="005D24FA" w:rsidRDefault="005D24FA" w:rsidP="005D24FA">
      <w:pPr>
        <w:spacing w:line="360" w:lineRule="auto"/>
        <w:rPr>
          <w:b/>
        </w:rPr>
      </w:pPr>
      <w:r>
        <w:rPr>
          <w:b/>
        </w:rPr>
        <w:t>5-</w:t>
      </w:r>
      <w:r>
        <w:t xml:space="preserve"> </w:t>
      </w:r>
      <w:r>
        <w:tab/>
      </w:r>
      <w:r>
        <w:rPr>
          <w:b/>
        </w:rPr>
        <w:t>[</w:t>
      </w:r>
      <w:r>
        <w:t xml:space="preserve">Hermès inconnu </w:t>
      </w:r>
      <w:r>
        <w:rPr>
          <w:b/>
        </w:rPr>
        <w:t>(</w:t>
      </w:r>
      <w:r>
        <w:t xml:space="preserve">qui </w:t>
      </w:r>
      <w:r w:rsidRPr="0072012E">
        <w:rPr>
          <w:u w:val="single"/>
        </w:rPr>
        <w:t>m’assistes</w:t>
      </w:r>
      <w:r>
        <w:rPr>
          <w:b/>
        </w:rPr>
        <w:t>)</w:t>
      </w:r>
      <w:r>
        <w:t xml:space="preserve"> </w:t>
      </w:r>
      <w:r w:rsidRPr="0072012E">
        <w:rPr>
          <w:b/>
          <w:u w:val="single"/>
        </w:rPr>
        <w:t>et</w:t>
      </w:r>
      <w:r>
        <w:t xml:space="preserve"> </w:t>
      </w:r>
      <w:r>
        <w:rPr>
          <w:b/>
        </w:rPr>
        <w:t>(</w:t>
      </w:r>
      <w:r>
        <w:t xml:space="preserve">qui toujours </w:t>
      </w:r>
      <w:r w:rsidRPr="0072012E">
        <w:rPr>
          <w:u w:val="single"/>
        </w:rPr>
        <w:t>m’intimidas</w:t>
      </w:r>
      <w:r>
        <w:t xml:space="preserve">,) tu me </w:t>
      </w:r>
      <w:r w:rsidRPr="0072012E">
        <w:rPr>
          <w:u w:val="single"/>
        </w:rPr>
        <w:t>rends</w:t>
      </w:r>
      <w:r>
        <w:t xml:space="preserve"> l’égal de Midas.</w:t>
      </w:r>
      <w:r>
        <w:rPr>
          <w:b/>
        </w:rPr>
        <w:t>]</w:t>
      </w:r>
    </w:p>
    <w:p w14:paraId="0926DD26" w14:textId="77777777" w:rsidR="005D24FA" w:rsidRDefault="005D24FA" w:rsidP="005D24FA">
      <w:pPr>
        <w:spacing w:line="360" w:lineRule="auto"/>
      </w:pPr>
      <w:r>
        <w:t>3 verbes conjugués = 3 propositions</w:t>
      </w:r>
    </w:p>
    <w:p w14:paraId="32FEB5B3" w14:textId="77777777" w:rsidR="005D24FA" w:rsidRPr="0072012E" w:rsidRDefault="005D24FA" w:rsidP="005D24FA">
      <w:pPr>
        <w:spacing w:line="360" w:lineRule="auto"/>
      </w:pPr>
      <w:r>
        <w:rPr>
          <w:b/>
        </w:rPr>
        <w:t>[</w:t>
      </w:r>
      <w:r>
        <w:t xml:space="preserve">Hermès inconnu tu me </w:t>
      </w:r>
      <w:r w:rsidRPr="0072012E">
        <w:rPr>
          <w:u w:val="single"/>
        </w:rPr>
        <w:t>rends</w:t>
      </w:r>
      <w:r>
        <w:t xml:space="preserve"> l’égal de Midas</w:t>
      </w:r>
      <w:r>
        <w:rPr>
          <w:b/>
        </w:rPr>
        <w:t>]</w:t>
      </w:r>
      <w:r>
        <w:t xml:space="preserve"> = proposition principale dans laquelle sont insérées deux propositions relatives coordonnées par la conjonction de coordination </w:t>
      </w:r>
      <w:r>
        <w:rPr>
          <w:i/>
        </w:rPr>
        <w:t>et</w:t>
      </w:r>
      <w:r>
        <w:t>.</w:t>
      </w:r>
    </w:p>
    <w:p w14:paraId="708D6506" w14:textId="77777777" w:rsidR="005D24FA" w:rsidRDefault="005D24FA" w:rsidP="005D24FA">
      <w:pPr>
        <w:spacing w:line="360" w:lineRule="auto"/>
      </w:pPr>
      <w:r>
        <w:rPr>
          <w:b/>
        </w:rPr>
        <w:t>(</w:t>
      </w:r>
      <w:r>
        <w:t xml:space="preserve">qui </w:t>
      </w:r>
      <w:r w:rsidRPr="0072012E">
        <w:rPr>
          <w:u w:val="single"/>
        </w:rPr>
        <w:t>m’assistes</w:t>
      </w:r>
      <w:r>
        <w:rPr>
          <w:b/>
        </w:rPr>
        <w:t xml:space="preserve">) </w:t>
      </w:r>
      <w:r>
        <w:t xml:space="preserve">: proposition relative introduite par </w:t>
      </w:r>
      <w:r>
        <w:rPr>
          <w:i/>
        </w:rPr>
        <w:t>qui</w:t>
      </w:r>
      <w:r>
        <w:t>, ayant pour antécédent « Hermès inconnu ». Test de remplacement : « Hermès inconnu m’assiste ».</w:t>
      </w:r>
    </w:p>
    <w:p w14:paraId="7B697E94" w14:textId="77777777" w:rsidR="005D24FA" w:rsidRDefault="005D24FA" w:rsidP="005D24FA">
      <w:pPr>
        <w:spacing w:line="360" w:lineRule="auto"/>
      </w:pPr>
      <w:r>
        <w:rPr>
          <w:b/>
        </w:rPr>
        <w:t>(</w:t>
      </w:r>
      <w:r>
        <w:t>qui toujours m’intimidas</w:t>
      </w:r>
      <w:r>
        <w:rPr>
          <w:b/>
        </w:rPr>
        <w:t>)</w:t>
      </w:r>
      <w:r>
        <w:t> :</w:t>
      </w:r>
      <w:r w:rsidRPr="0072012E">
        <w:t xml:space="preserve"> </w:t>
      </w:r>
      <w:r>
        <w:t xml:space="preserve">proposition relative introduite par </w:t>
      </w:r>
      <w:r>
        <w:rPr>
          <w:i/>
        </w:rPr>
        <w:t>qui</w:t>
      </w:r>
      <w:r>
        <w:t>, ayant pour antécédent « Hermès inconnu ». Test de remplacement : « Hermès inconnu toujours m’intimida ».</w:t>
      </w:r>
    </w:p>
    <w:p w14:paraId="1929E715" w14:textId="77777777" w:rsidR="005D24FA" w:rsidRDefault="005D24FA" w:rsidP="005D24FA">
      <w:pPr>
        <w:spacing w:line="360" w:lineRule="auto"/>
      </w:pPr>
    </w:p>
    <w:p w14:paraId="7792D915" w14:textId="77777777" w:rsidR="005D24FA" w:rsidRDefault="005D24FA" w:rsidP="005D24FA">
      <w:pPr>
        <w:spacing w:line="360" w:lineRule="auto"/>
      </w:pPr>
      <w:r>
        <w:rPr>
          <w:b/>
        </w:rPr>
        <w:t>6-</w:t>
      </w:r>
      <w:r>
        <w:rPr>
          <w:b/>
        </w:rPr>
        <w:tab/>
      </w:r>
      <w:r w:rsidRPr="00474639">
        <w:rPr>
          <w:bdr w:val="single" w:sz="4" w:space="0" w:color="auto"/>
        </w:rPr>
        <w:t xml:space="preserve">Dans le </w:t>
      </w:r>
      <w:r>
        <w:rPr>
          <w:bdr w:val="single" w:sz="4" w:space="0" w:color="auto"/>
        </w:rPr>
        <w:t>sonnet</w:t>
      </w:r>
      <w:r w:rsidRPr="00474639">
        <w:rPr>
          <w:bdr w:val="single" w:sz="4" w:space="0" w:color="auto"/>
        </w:rPr>
        <w:t xml:space="preserve"> « Alchimie de la douleur », nous pouvons remarquer </w:t>
      </w:r>
      <w:r>
        <w:rPr>
          <w:bdr w:val="single" w:sz="4" w:space="0" w:color="auto"/>
        </w:rPr>
        <w:t>l’antithèse fondamentale entre le Spleen et l’Idéal</w:t>
      </w:r>
      <w:r w:rsidRPr="00474639">
        <w:rPr>
          <w:bdr w:val="single" w:sz="4" w:space="0" w:color="auto"/>
        </w:rPr>
        <w:t>.</w:t>
      </w:r>
      <w:r>
        <w:t xml:space="preserve"> En effet, le poème s’ouvre sur une </w:t>
      </w:r>
      <w:r w:rsidRPr="005D24FA">
        <w:rPr>
          <w:b/>
        </w:rPr>
        <w:t>antithèse</w:t>
      </w:r>
      <w:r>
        <w:t xml:space="preserve"> qui parcourra le poème dans son entier, et plus largement, toute la première section des </w:t>
      </w:r>
      <w:r>
        <w:rPr>
          <w:i/>
        </w:rPr>
        <w:t>Fleurs du mal</w:t>
      </w:r>
      <w:r>
        <w:t xml:space="preserve"> : « L’un t’éclaire » (v. 1) et « L’autre en toi met son deuil » (v. 2). Cette première opposition sera renforcée par la </w:t>
      </w:r>
      <w:r w:rsidRPr="005D24FA">
        <w:rPr>
          <w:b/>
        </w:rPr>
        <w:t>répétition</w:t>
      </w:r>
      <w:r>
        <w:t xml:space="preserve"> de « l’un » (v. 3) et de « l’autre » (v. 4). Le verbe </w:t>
      </w:r>
      <w:r>
        <w:rPr>
          <w:i/>
        </w:rPr>
        <w:t>éclairer</w:t>
      </w:r>
      <w:r>
        <w:t xml:space="preserve"> est positif et montre la lumière alors que l’évocation du « deuil » renvoie à quelque chose de sombre et de triste. Les </w:t>
      </w:r>
      <w:r w:rsidRPr="00475425">
        <w:rPr>
          <w:b/>
        </w:rPr>
        <w:t>antithèses</w:t>
      </w:r>
      <w:r>
        <w:t xml:space="preserve"> sont également </w:t>
      </w:r>
      <w:r w:rsidRPr="00475425">
        <w:rPr>
          <w:b/>
        </w:rPr>
        <w:t>présentes à la rime </w:t>
      </w:r>
      <w:r>
        <w:t xml:space="preserve">: « Nature ! » </w:t>
      </w:r>
      <w:r>
        <w:lastRenderedPageBreak/>
        <w:t xml:space="preserve">(v. 2) est ainsi opposé à « Sépulture ! » (v. 3). Les </w:t>
      </w:r>
      <w:r w:rsidRPr="00475425">
        <w:rPr>
          <w:b/>
        </w:rPr>
        <w:t>rimes embrassées</w:t>
      </w:r>
      <w:r>
        <w:t xml:space="preserve"> viennent parfaire l’union des contraires puisqu’elles se touchent (A</w:t>
      </w:r>
      <w:r w:rsidRPr="00475425">
        <w:rPr>
          <w:b/>
        </w:rPr>
        <w:t>BB</w:t>
      </w:r>
      <w:r>
        <w:t xml:space="preserve">A). Cette alliance touche également l’alchimie elle-même comme en témoigne les deux </w:t>
      </w:r>
      <w:r w:rsidRPr="00475425">
        <w:rPr>
          <w:b/>
        </w:rPr>
        <w:t>antithèses</w:t>
      </w:r>
      <w:r>
        <w:t xml:space="preserve"> des vers 10 et 11 : « l’or en fer » et « le paradis en enfer ». Le processus alchimique est soulignée par la </w:t>
      </w:r>
      <w:r w:rsidRPr="00475425">
        <w:rPr>
          <w:b/>
        </w:rPr>
        <w:t>préposition « en »</w:t>
      </w:r>
      <w:r>
        <w:t xml:space="preserve"> et le </w:t>
      </w:r>
      <w:r w:rsidRPr="00475425">
        <w:rPr>
          <w:b/>
        </w:rPr>
        <w:t>verbe « changer »</w:t>
      </w:r>
      <w:r>
        <w:t xml:space="preserve"> (v. 9). On peut également voir une opposition entre le paradis et l’enfer, soulignée par les </w:t>
      </w:r>
      <w:r w:rsidRPr="00475425">
        <w:rPr>
          <w:b/>
        </w:rPr>
        <w:t>champs lexicaux </w:t>
      </w:r>
      <w:r>
        <w:t xml:space="preserve">: « le paradis » (v. 10), « nuages » (v. 11), « célestes » (v. 13) contrastent avec « enfer » (v. 10) ; « suaire » (v. 11) ; « sarcophages » (v. 14). Il n’est pas inutile de rappeler que selon les diverses traditions religieuses, le paradis se trouve dans les cieux alors que l’enfer est sous terre. </w:t>
      </w:r>
      <w:r w:rsidRPr="00475425">
        <w:rPr>
          <w:bdr w:val="single" w:sz="4" w:space="0" w:color="auto"/>
        </w:rPr>
        <w:t>Nous a</w:t>
      </w:r>
      <w:r>
        <w:rPr>
          <w:bdr w:val="single" w:sz="4" w:space="0" w:color="auto"/>
        </w:rPr>
        <w:t>vons donc vu que Baudelaire, dans ce poème, montrait l’antithèse fondamentale entre Spleen et Idéal.</w:t>
      </w:r>
    </w:p>
    <w:p w14:paraId="579EED45" w14:textId="77777777" w:rsidR="005D24FA" w:rsidRDefault="005D24FA" w:rsidP="005D24FA">
      <w:pPr>
        <w:spacing w:line="360" w:lineRule="auto"/>
      </w:pPr>
    </w:p>
    <w:p w14:paraId="0701469D" w14:textId="77777777" w:rsidR="005D24FA" w:rsidRPr="0072012E" w:rsidRDefault="005D24FA" w:rsidP="005D24FA">
      <w:pPr>
        <w:spacing w:line="360" w:lineRule="auto"/>
        <w:jc w:val="center"/>
        <w:rPr>
          <w:i/>
        </w:rPr>
      </w:pPr>
      <w:r>
        <w:rPr>
          <w:b/>
          <w:i/>
        </w:rPr>
        <w:t xml:space="preserve">Rappel méthode de la sous-partie : </w:t>
      </w:r>
      <w:r w:rsidRPr="00474639">
        <w:rPr>
          <w:b/>
          <w:i/>
          <w:bdr w:val="single" w:sz="4" w:space="0" w:color="auto"/>
        </w:rPr>
        <w:t>courte phrase qui rappelle l’objectif de la sous-partie</w:t>
      </w:r>
      <w:r>
        <w:rPr>
          <w:b/>
          <w:i/>
        </w:rPr>
        <w:t xml:space="preserve"> + procédés qui justifient l’objectif choisi (nommer, citer, interpréter) + </w:t>
      </w:r>
      <w:r w:rsidRPr="00474639">
        <w:rPr>
          <w:b/>
          <w:i/>
          <w:bdr w:val="single" w:sz="4" w:space="0" w:color="auto"/>
        </w:rPr>
        <w:t>courte phrase bilan</w:t>
      </w:r>
      <w:r>
        <w:rPr>
          <w:b/>
          <w:i/>
        </w:rPr>
        <w:t>.</w:t>
      </w:r>
    </w:p>
    <w:p w14:paraId="56FEA0A4" w14:textId="77777777" w:rsidR="005D24FA" w:rsidRDefault="005D24FA" w:rsidP="005D24FA">
      <w:pPr>
        <w:spacing w:line="360" w:lineRule="auto"/>
      </w:pPr>
      <w:r>
        <w:t xml:space="preserve"> </w:t>
      </w:r>
    </w:p>
    <w:p w14:paraId="0165A8D8" w14:textId="54C7D8F6" w:rsidR="005F41CD" w:rsidRPr="005F41CD" w:rsidRDefault="005D24FA" w:rsidP="005D24FA">
      <w:pPr>
        <w:spacing w:line="360" w:lineRule="auto"/>
        <w:rPr>
          <w:rFonts w:ascii="Helvetica Neue" w:hAnsi="Helvetica Neue"/>
          <w:color w:val="222222"/>
          <w:sz w:val="24"/>
        </w:rPr>
      </w:pPr>
      <w:r>
        <w:rPr>
          <w:b/>
        </w:rPr>
        <w:t>7-</w:t>
      </w:r>
      <w:r>
        <w:t xml:space="preserve"> </w:t>
      </w:r>
      <w:r>
        <w:tab/>
      </w:r>
      <w:r>
        <w:rPr>
          <w:bdr w:val="single" w:sz="4" w:space="0" w:color="auto"/>
        </w:rPr>
        <w:t xml:space="preserve">Dans </w:t>
      </w:r>
      <w:r w:rsidRPr="00475425">
        <w:rPr>
          <w:bdr w:val="single" w:sz="4" w:space="0" w:color="auto"/>
        </w:rPr>
        <w:t xml:space="preserve">« Alchimie de la douleur », Baudelaire met en évidence que </w:t>
      </w:r>
      <w:r>
        <w:rPr>
          <w:bdr w:val="single" w:sz="4" w:space="0" w:color="auto"/>
        </w:rPr>
        <w:t>le poète est un alchimiste maudit</w:t>
      </w:r>
      <w:r w:rsidRPr="00475425">
        <w:rPr>
          <w:bdr w:val="single" w:sz="4" w:space="0" w:color="auto"/>
        </w:rPr>
        <w:t>.</w:t>
      </w:r>
      <w:r>
        <w:t xml:space="preserve"> Pour </w:t>
      </w:r>
      <w:r w:rsidR="005F41CD">
        <w:t xml:space="preserve">cela, nous pouvons observer le premier tercet qui s’adresse au dieu Hermès par une </w:t>
      </w:r>
      <w:r w:rsidR="005F41CD">
        <w:rPr>
          <w:b/>
        </w:rPr>
        <w:t>apostrophe</w:t>
      </w:r>
      <w:r w:rsidR="005F41CD">
        <w:t xml:space="preserve"> (« Hermès inconnu qui m’assistes / Et qui toujours m’intimidas » v. 5-6) et qui explicite la nature de la malédiction. Dans une </w:t>
      </w:r>
      <w:r w:rsidR="005F41CD" w:rsidRPr="005F41CD">
        <w:rPr>
          <w:b/>
        </w:rPr>
        <w:t>métaphore</w:t>
      </w:r>
      <w:r w:rsidR="005F41CD">
        <w:t xml:space="preserve">, Baudelaire </w:t>
      </w:r>
      <w:r w:rsidR="005F41CD" w:rsidRPr="005F41CD">
        <w:rPr>
          <w:b/>
        </w:rPr>
        <w:t>exprime sa parenté avec Midas</w:t>
      </w:r>
      <w:r w:rsidR="005F41CD">
        <w:t xml:space="preserve">, roi de la mythologie obtenant le don, sinon la malédiction, de changer tout ce qu’il touche en or. De plus, au contraire ce que ferait le véritable alchimiste, Baudelaire « change l’or en fer ». </w:t>
      </w:r>
      <w:r w:rsidR="005F41CD" w:rsidRPr="005F41CD">
        <w:rPr>
          <w:b/>
        </w:rPr>
        <w:t>L’antithèse</w:t>
      </w:r>
      <w:r w:rsidR="005F41CD">
        <w:t xml:space="preserve"> souligne l’inversion. Quant à l’apparition du </w:t>
      </w:r>
      <w:r w:rsidR="005F41CD">
        <w:rPr>
          <w:b/>
        </w:rPr>
        <w:t>pronom personnel de P1</w:t>
      </w:r>
      <w:r w:rsidR="005F41CD">
        <w:t xml:space="preserve">, il introduit pour la première fois la présence du poète, représenté comme la victime d’une malédiction orchestrée par la </w:t>
      </w:r>
      <w:r w:rsidR="005F41CD">
        <w:rPr>
          <w:b/>
        </w:rPr>
        <w:t>P2</w:t>
      </w:r>
      <w:r w:rsidR="005F41CD">
        <w:t xml:space="preserve"> (« Tu me rends l’égal de Midas » v. 7). L’antithèse du vers 10, quant à elle, montre que la poésie dégrade la matière plutôt que la sublimer. </w:t>
      </w:r>
      <w:r w:rsidR="005F41CD" w:rsidRPr="005F41CD">
        <w:rPr>
          <w:b/>
        </w:rPr>
        <w:t>À la rime</w:t>
      </w:r>
      <w:r w:rsidR="005F41CD">
        <w:t xml:space="preserve">, on remarquera également </w:t>
      </w:r>
      <w:r w:rsidR="005F41CD" w:rsidRPr="005F41CD">
        <w:rPr>
          <w:b/>
        </w:rPr>
        <w:t>l’association de « fer » et « enfer »</w:t>
      </w:r>
      <w:r w:rsidR="005F41CD">
        <w:t xml:space="preserve">. S’opposent alors dans le poème le </w:t>
      </w:r>
      <w:r w:rsidR="005F41CD" w:rsidRPr="005F41CD">
        <w:rPr>
          <w:b/>
        </w:rPr>
        <w:t>champ lexical du ciel</w:t>
      </w:r>
      <w:r w:rsidR="005F41CD">
        <w:t xml:space="preserve"> (« paradis » v. 10 ; « nuages » v. 11 ; « célestes » v. 13), symbolisant l’esprit et la pureté, et </w:t>
      </w:r>
      <w:r w:rsidR="005F41CD" w:rsidRPr="005F41CD">
        <w:rPr>
          <w:b/>
        </w:rPr>
        <w:t xml:space="preserve">celui de la terre </w:t>
      </w:r>
      <w:r w:rsidR="005F41CD" w:rsidRPr="005F41CD">
        <w:t>(« enfer </w:t>
      </w:r>
      <w:r w:rsidR="005F41CD">
        <w:t xml:space="preserve">» v. 10 ; « cadavre » v. 12 ; « sarcophages » v. 14) qui renvoie à l’enfer. Ainsi, la poésie pousse le poète à côtoyer la mort. </w:t>
      </w:r>
      <w:r w:rsidR="002C15AC" w:rsidRPr="002C15AC">
        <w:rPr>
          <w:bdr w:val="single" w:sz="4" w:space="0" w:color="auto"/>
        </w:rPr>
        <w:t>Nous avons donc vu que le poète se présentait comme un alchimiste maudit dans ce poème</w:t>
      </w:r>
      <w:r w:rsidR="002C15AC">
        <w:rPr>
          <w:bdr w:val="single" w:sz="4" w:space="0" w:color="auto"/>
        </w:rPr>
        <w:t>.</w:t>
      </w:r>
      <w:bookmarkStart w:id="0" w:name="_GoBack"/>
      <w:bookmarkEnd w:id="0"/>
    </w:p>
    <w:p w14:paraId="340B2436" w14:textId="77777777" w:rsidR="006A428E" w:rsidRDefault="006A428E"/>
    <w:sectPr w:rsidR="006A428E" w:rsidSect="0072012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A255E"/>
    <w:multiLevelType w:val="multilevel"/>
    <w:tmpl w:val="754A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4FA"/>
    <w:rsid w:val="002C15AC"/>
    <w:rsid w:val="005D24FA"/>
    <w:rsid w:val="005F41CD"/>
    <w:rsid w:val="006A428E"/>
    <w:rsid w:val="00BE479A"/>
    <w:rsid w:val="00C76B91"/>
    <w:rsid w:val="00E5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F04C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4FA"/>
    <w:pPr>
      <w:jc w:val="both"/>
    </w:pPr>
    <w:rPr>
      <w:rFonts w:ascii="Arial" w:hAnsi="Arial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E56D44"/>
    <w:pPr>
      <w:keepNext/>
      <w:keepLines/>
      <w:spacing w:line="360" w:lineRule="auto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6D44"/>
    <w:rPr>
      <w:rFonts w:eastAsiaTheme="majorEastAsia" w:cstheme="majorBidi"/>
      <w:b/>
      <w:bCs/>
      <w:color w:val="345A8A" w:themeColor="accent1" w:themeShade="B5"/>
      <w:szCs w:val="32"/>
    </w:rPr>
  </w:style>
  <w:style w:type="paragraph" w:styleId="NormalWeb">
    <w:name w:val="Normal (Web)"/>
    <w:basedOn w:val="Normal"/>
    <w:uiPriority w:val="99"/>
    <w:semiHidden/>
    <w:unhideWhenUsed/>
    <w:rsid w:val="005F41CD"/>
    <w:pPr>
      <w:spacing w:before="100" w:beforeAutospacing="1" w:after="100" w:afterAutospacing="1"/>
      <w:jc w:val="left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Policepardfaut"/>
    <w:rsid w:val="005F41CD"/>
  </w:style>
  <w:style w:type="character" w:styleId="lev">
    <w:name w:val="Strong"/>
    <w:basedOn w:val="Policepardfaut"/>
    <w:uiPriority w:val="22"/>
    <w:qFormat/>
    <w:rsid w:val="005F41CD"/>
    <w:rPr>
      <w:b/>
      <w:bCs/>
    </w:rPr>
  </w:style>
  <w:style w:type="paragraph" w:styleId="Paragraphedeliste">
    <w:name w:val="List Paragraph"/>
    <w:basedOn w:val="Normal"/>
    <w:uiPriority w:val="34"/>
    <w:qFormat/>
    <w:rsid w:val="005F41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4FA"/>
    <w:pPr>
      <w:jc w:val="both"/>
    </w:pPr>
    <w:rPr>
      <w:rFonts w:ascii="Arial" w:hAnsi="Arial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E56D44"/>
    <w:pPr>
      <w:keepNext/>
      <w:keepLines/>
      <w:spacing w:line="360" w:lineRule="auto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6D44"/>
    <w:rPr>
      <w:rFonts w:eastAsiaTheme="majorEastAsia" w:cstheme="majorBidi"/>
      <w:b/>
      <w:bCs/>
      <w:color w:val="345A8A" w:themeColor="accent1" w:themeShade="B5"/>
      <w:szCs w:val="32"/>
    </w:rPr>
  </w:style>
  <w:style w:type="paragraph" w:styleId="NormalWeb">
    <w:name w:val="Normal (Web)"/>
    <w:basedOn w:val="Normal"/>
    <w:uiPriority w:val="99"/>
    <w:semiHidden/>
    <w:unhideWhenUsed/>
    <w:rsid w:val="005F41CD"/>
    <w:pPr>
      <w:spacing w:before="100" w:beforeAutospacing="1" w:after="100" w:afterAutospacing="1"/>
      <w:jc w:val="left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Policepardfaut"/>
    <w:rsid w:val="005F41CD"/>
  </w:style>
  <w:style w:type="character" w:styleId="lev">
    <w:name w:val="Strong"/>
    <w:basedOn w:val="Policepardfaut"/>
    <w:uiPriority w:val="22"/>
    <w:qFormat/>
    <w:rsid w:val="005F41CD"/>
    <w:rPr>
      <w:b/>
      <w:bCs/>
    </w:rPr>
  </w:style>
  <w:style w:type="paragraph" w:styleId="Paragraphedeliste">
    <w:name w:val="List Paragraph"/>
    <w:basedOn w:val="Normal"/>
    <w:uiPriority w:val="34"/>
    <w:qFormat/>
    <w:rsid w:val="005F4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857</Words>
  <Characters>4718</Characters>
  <Application>Microsoft Macintosh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Deloche</dc:creator>
  <cp:keywords/>
  <dc:description/>
  <cp:lastModifiedBy>Amandine Deloche</cp:lastModifiedBy>
  <cp:revision>3</cp:revision>
  <dcterms:created xsi:type="dcterms:W3CDTF">2021-10-16T15:45:00Z</dcterms:created>
  <dcterms:modified xsi:type="dcterms:W3CDTF">2021-10-16T15:54:00Z</dcterms:modified>
</cp:coreProperties>
</file>