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Qwen3.5-27B vs Qwen2.5-72B 模型对比测试报告</w:t>
      </w:r>
    </w:p>
    <w:p>
      <w:r>
        <w:t>生成时间：2026-04-13 16:54:44</w:t>
      </w:r>
    </w:p>
    <w:p/>
    <w:p>
      <w:pPr>
        <w:pStyle w:val="Heading1"/>
      </w:pPr>
      <w:r>
        <w:t>一、测试目标</w:t>
      </w:r>
    </w:p>
    <w:p>
      <w:r>
        <w:t>对比 Qwen3.5-27B（关闭思考模式）与 Qwen2.5-72B 在现有算子业务场景下的输出质量、首token耗时、响应总耗时等维度的差异，为模型升级决策提供数据支撑。</w:t>
      </w:r>
    </w:p>
    <w:p>
      <w:pPr>
        <w:pStyle w:val="Heading1"/>
      </w:pPr>
      <w:r>
        <w:t>二、测试配置</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微软雅黑" w:hAnsi="微软雅黑"/>
                <w:b/>
                <w:sz w:val="18"/>
              </w:rPr>
              <w:t>配置项</w:t>
            </w:r>
          </w:p>
        </w:tc>
        <w:tc>
          <w:tcPr>
            <w:tcW w:type="dxa" w:w="2880"/>
          </w:tcPr>
          <w:p>
            <w:r>
              <w:rPr>
                <w:rFonts w:ascii="微软雅黑" w:hAnsi="微软雅黑"/>
                <w:b/>
                <w:sz w:val="18"/>
              </w:rPr>
              <w:t>Qwen2.5-72B（原模型）</w:t>
            </w:r>
          </w:p>
        </w:tc>
        <w:tc>
          <w:tcPr>
            <w:tcW w:type="dxa" w:w="2880"/>
          </w:tcPr>
          <w:p>
            <w:r>
              <w:rPr>
                <w:rFonts w:ascii="微软雅黑" w:hAnsi="微软雅黑"/>
                <w:b/>
                <w:sz w:val="18"/>
              </w:rPr>
              <w:t>Qwen3.5-27B（新模型）</w:t>
            </w:r>
          </w:p>
        </w:tc>
      </w:tr>
      <w:tr>
        <w:tc>
          <w:tcPr>
            <w:tcW w:type="dxa" w:w="2880"/>
          </w:tcPr>
          <w:p>
            <w:r>
              <w:rPr>
                <w:rFonts w:ascii="微软雅黑" w:hAnsi="微软雅黑"/>
                <w:sz w:val="18"/>
              </w:rPr>
              <w:t>参数规模</w:t>
            </w:r>
          </w:p>
        </w:tc>
        <w:tc>
          <w:tcPr>
            <w:tcW w:type="dxa" w:w="2880"/>
          </w:tcPr>
          <w:p>
            <w:r>
              <w:rPr>
                <w:rFonts w:ascii="微软雅黑" w:hAnsi="微软雅黑"/>
                <w:sz w:val="18"/>
              </w:rPr>
              <w:t>72B</w:t>
            </w:r>
          </w:p>
        </w:tc>
        <w:tc>
          <w:tcPr>
            <w:tcW w:type="dxa" w:w="2880"/>
          </w:tcPr>
          <w:p>
            <w:r>
              <w:rPr>
                <w:rFonts w:ascii="微软雅黑" w:hAnsi="微软雅黑"/>
                <w:sz w:val="18"/>
              </w:rPr>
              <w:t>27B (397B MoE, A17B active)</w:t>
            </w:r>
          </w:p>
        </w:tc>
      </w:tr>
      <w:tr>
        <w:tc>
          <w:tcPr>
            <w:tcW w:type="dxa" w:w="2880"/>
          </w:tcPr>
          <w:p>
            <w:r>
              <w:rPr>
                <w:rFonts w:ascii="微软雅黑" w:hAnsi="微软雅黑"/>
                <w:sz w:val="18"/>
              </w:rPr>
              <w:t>部署地址</w:t>
            </w:r>
          </w:p>
        </w:tc>
        <w:tc>
          <w:tcPr>
            <w:tcW w:type="dxa" w:w="2880"/>
          </w:tcPr>
          <w:p>
            <w:r>
              <w:rPr>
                <w:rFonts w:ascii="微软雅黑" w:hAnsi="微软雅黑"/>
                <w:sz w:val="18"/>
              </w:rPr>
              <w:t>10.177.106.134:9037</w:t>
            </w:r>
          </w:p>
        </w:tc>
        <w:tc>
          <w:tcPr>
            <w:tcW w:type="dxa" w:w="2880"/>
          </w:tcPr>
          <w:p>
            <w:r>
              <w:rPr>
                <w:rFonts w:ascii="微软雅黑" w:hAnsi="微软雅黑"/>
                <w:sz w:val="18"/>
              </w:rPr>
              <w:t>10.177.106.134:9036</w:t>
            </w:r>
          </w:p>
        </w:tc>
      </w:tr>
      <w:tr>
        <w:tc>
          <w:tcPr>
            <w:tcW w:type="dxa" w:w="2880"/>
          </w:tcPr>
          <w:p>
            <w:r>
              <w:rPr>
                <w:rFonts w:ascii="微软雅黑" w:hAnsi="微软雅黑"/>
                <w:sz w:val="18"/>
              </w:rPr>
              <w:t>max_tokens</w:t>
            </w:r>
          </w:p>
        </w:tc>
        <w:tc>
          <w:tcPr>
            <w:tcW w:type="dxa" w:w="2880"/>
          </w:tcPr>
          <w:p>
            <w:r>
              <w:rPr>
                <w:rFonts w:ascii="微软雅黑" w:hAnsi="微软雅黑"/>
                <w:sz w:val="18"/>
              </w:rPr>
              <w:t>32768</w:t>
            </w:r>
          </w:p>
        </w:tc>
        <w:tc>
          <w:tcPr>
            <w:tcW w:type="dxa" w:w="2880"/>
          </w:tcPr>
          <w:p>
            <w:r>
              <w:rPr>
                <w:rFonts w:ascii="微软雅黑" w:hAnsi="微软雅黑"/>
                <w:sz w:val="18"/>
              </w:rPr>
              <w:t>32768</w:t>
            </w:r>
          </w:p>
        </w:tc>
      </w:tr>
      <w:tr>
        <w:tc>
          <w:tcPr>
            <w:tcW w:type="dxa" w:w="2880"/>
          </w:tcPr>
          <w:p>
            <w:r>
              <w:rPr>
                <w:rFonts w:ascii="微软雅黑" w:hAnsi="微软雅黑"/>
                <w:sz w:val="18"/>
              </w:rPr>
              <w:t>enable_thinking</w:t>
            </w:r>
          </w:p>
        </w:tc>
        <w:tc>
          <w:tcPr>
            <w:tcW w:type="dxa" w:w="2880"/>
          </w:tcPr>
          <w:p>
            <w:r>
              <w:rPr>
                <w:rFonts w:ascii="微软雅黑" w:hAnsi="微软雅黑"/>
                <w:sz w:val="18"/>
              </w:rPr>
              <w:t>-</w:t>
            </w:r>
          </w:p>
        </w:tc>
        <w:tc>
          <w:tcPr>
            <w:tcW w:type="dxa" w:w="2880"/>
          </w:tcPr>
          <w:p>
            <w:r>
              <w:rPr>
                <w:rFonts w:ascii="微软雅黑" w:hAnsi="微软雅黑"/>
                <w:sz w:val="18"/>
              </w:rPr>
              <w:t>False（已关闭）</w:t>
            </w:r>
          </w:p>
        </w:tc>
      </w:tr>
      <w:tr>
        <w:tc>
          <w:tcPr>
            <w:tcW w:type="dxa" w:w="2880"/>
          </w:tcPr>
          <w:p>
            <w:r>
              <w:rPr>
                <w:rFonts w:ascii="微软雅黑" w:hAnsi="微软雅黑"/>
                <w:sz w:val="18"/>
              </w:rPr>
              <w:t>temperature</w:t>
            </w:r>
          </w:p>
        </w:tc>
        <w:tc>
          <w:tcPr>
            <w:tcW w:type="dxa" w:w="2880"/>
          </w:tcPr>
          <w:p>
            <w:r>
              <w:rPr>
                <w:rFonts w:ascii="微软雅黑" w:hAnsi="微软雅黑"/>
                <w:sz w:val="18"/>
              </w:rPr>
              <w:t>0</w:t>
            </w:r>
          </w:p>
        </w:tc>
        <w:tc>
          <w:tcPr>
            <w:tcW w:type="dxa" w:w="2880"/>
          </w:tcPr>
          <w:p>
            <w:r>
              <w:rPr>
                <w:rFonts w:ascii="微软雅黑" w:hAnsi="微软雅黑"/>
                <w:sz w:val="18"/>
              </w:rPr>
              <w:t>0</w:t>
            </w:r>
          </w:p>
        </w:tc>
      </w:tr>
    </w:tbl>
    <w:p>
      <w:pPr>
        <w:pStyle w:val="Heading1"/>
      </w:pPr>
      <w:r>
        <w:t>三、测试结果汇总</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微软雅黑" w:hAnsi="微软雅黑"/>
                <w:b/>
                <w:sz w:val="18"/>
              </w:rPr>
              <w:t>测试用例</w:t>
            </w:r>
          </w:p>
        </w:tc>
        <w:tc>
          <w:tcPr>
            <w:tcW w:type="dxa" w:w="1440"/>
          </w:tcPr>
          <w:p>
            <w:r>
              <w:rPr>
                <w:rFonts w:ascii="微软雅黑" w:hAnsi="微软雅黑"/>
                <w:b/>
                <w:sz w:val="18"/>
              </w:rPr>
              <w:t>原模型耗时(s)</w:t>
            </w:r>
          </w:p>
        </w:tc>
        <w:tc>
          <w:tcPr>
            <w:tcW w:type="dxa" w:w="1440"/>
          </w:tcPr>
          <w:p>
            <w:r>
              <w:rPr>
                <w:rFonts w:ascii="微软雅黑" w:hAnsi="微软雅黑"/>
                <w:b/>
                <w:sz w:val="18"/>
              </w:rPr>
              <w:t>新模型耗时(s)</w:t>
            </w:r>
          </w:p>
        </w:tc>
        <w:tc>
          <w:tcPr>
            <w:tcW w:type="dxa" w:w="1440"/>
          </w:tcPr>
          <w:p>
            <w:r>
              <w:rPr>
                <w:rFonts w:ascii="微软雅黑" w:hAnsi="微软雅黑"/>
                <w:b/>
                <w:sz w:val="18"/>
              </w:rPr>
              <w:t>原模型首token(s)</w:t>
            </w:r>
          </w:p>
        </w:tc>
        <w:tc>
          <w:tcPr>
            <w:tcW w:type="dxa" w:w="1440"/>
          </w:tcPr>
          <w:p>
            <w:r>
              <w:rPr>
                <w:rFonts w:ascii="微软雅黑" w:hAnsi="微软雅黑"/>
                <w:b/>
                <w:sz w:val="18"/>
              </w:rPr>
              <w:t>新模型首token(s)</w:t>
            </w:r>
          </w:p>
        </w:tc>
        <w:tc>
          <w:tcPr>
            <w:tcW w:type="dxa" w:w="1440"/>
          </w:tcPr>
          <w:p>
            <w:r>
              <w:rPr>
                <w:rFonts w:ascii="微软雅黑" w:hAnsi="微软雅黑"/>
                <w:b/>
                <w:sz w:val="18"/>
              </w:rPr>
              <w:t>评测结果</w:t>
            </w:r>
          </w:p>
        </w:tc>
      </w:tr>
      <w:tr>
        <w:tc>
          <w:tcPr>
            <w:tcW w:type="dxa" w:w="1440"/>
          </w:tcPr>
          <w:p>
            <w:r>
              <w:rPr>
                <w:rFonts w:ascii="微软雅黑" w:hAnsi="微软雅黑"/>
                <w:sz w:val="18"/>
              </w:rPr>
              <w:t>基础问答</w:t>
            </w:r>
          </w:p>
        </w:tc>
        <w:tc>
          <w:tcPr>
            <w:tcW w:type="dxa" w:w="1440"/>
          </w:tcPr>
          <w:p>
            <w:r>
              <w:rPr>
                <w:rFonts w:ascii="微软雅黑" w:hAnsi="微软雅黑"/>
                <w:sz w:val="18"/>
              </w:rPr>
              <w:t>0.305</w:t>
            </w:r>
          </w:p>
        </w:tc>
        <w:tc>
          <w:tcPr>
            <w:tcW w:type="dxa" w:w="1440"/>
          </w:tcPr>
          <w:p>
            <w:r>
              <w:rPr>
                <w:rFonts w:ascii="微软雅黑" w:hAnsi="微软雅黑"/>
                <w:sz w:val="18"/>
              </w:rPr>
              <w:t>2.002</w:t>
            </w:r>
          </w:p>
        </w:tc>
        <w:tc>
          <w:tcPr>
            <w:tcW w:type="dxa" w:w="1440"/>
          </w:tcPr>
          <w:p>
            <w:r>
              <w:rPr>
                <w:rFonts w:ascii="微软雅黑" w:hAnsi="微软雅黑"/>
                <w:sz w:val="18"/>
              </w:rPr>
              <w:t>0.305</w:t>
            </w:r>
          </w:p>
        </w:tc>
        <w:tc>
          <w:tcPr>
            <w:tcW w:type="dxa" w:w="1440"/>
          </w:tcPr>
          <w:p>
            <w:r>
              <w:rPr>
                <w:rFonts w:ascii="微软雅黑" w:hAnsi="微软雅黑"/>
                <w:sz w:val="18"/>
              </w:rPr>
              <w:t>1.831</w:t>
            </w:r>
          </w:p>
        </w:tc>
        <w:tc>
          <w:tcPr>
            <w:tcW w:type="dxa" w:w="1440"/>
          </w:tcPr>
          <w:p>
            <w:r>
              <w:rPr>
                <w:rFonts w:ascii="微软雅黑" w:hAnsi="微软雅黑"/>
                <w:sz w:val="18"/>
              </w:rPr>
              <w:t>略差</w:t>
            </w:r>
          </w:p>
        </w:tc>
      </w:tr>
      <w:tr>
        <w:tc>
          <w:tcPr>
            <w:tcW w:type="dxa" w:w="1440"/>
          </w:tcPr>
          <w:p>
            <w:r>
              <w:rPr>
                <w:rFonts w:ascii="微软雅黑" w:hAnsi="微软雅黑"/>
                <w:sz w:val="18"/>
              </w:rPr>
              <w:t>规则理解</w:t>
            </w:r>
          </w:p>
        </w:tc>
        <w:tc>
          <w:tcPr>
            <w:tcW w:type="dxa" w:w="1440"/>
          </w:tcPr>
          <w:p>
            <w:r>
              <w:rPr>
                <w:rFonts w:ascii="微软雅黑" w:hAnsi="微软雅黑"/>
                <w:sz w:val="18"/>
              </w:rPr>
              <w:t>2.73</w:t>
            </w:r>
          </w:p>
        </w:tc>
        <w:tc>
          <w:tcPr>
            <w:tcW w:type="dxa" w:w="1440"/>
          </w:tcPr>
          <w:p>
            <w:r>
              <w:rPr>
                <w:rFonts w:ascii="微软雅黑" w:hAnsi="微软雅黑"/>
                <w:sz w:val="18"/>
              </w:rPr>
              <w:t>4.783</w:t>
            </w:r>
          </w:p>
        </w:tc>
        <w:tc>
          <w:tcPr>
            <w:tcW w:type="dxa" w:w="1440"/>
          </w:tcPr>
          <w:p>
            <w:r>
              <w:rPr>
                <w:rFonts w:ascii="微软雅黑" w:hAnsi="微软雅黑"/>
                <w:sz w:val="18"/>
              </w:rPr>
              <w:t>0.303</w:t>
            </w:r>
          </w:p>
        </w:tc>
        <w:tc>
          <w:tcPr>
            <w:tcW w:type="dxa" w:w="1440"/>
          </w:tcPr>
          <w:p>
            <w:r>
              <w:rPr>
                <w:rFonts w:ascii="微软雅黑" w:hAnsi="微软雅黑"/>
                <w:sz w:val="18"/>
              </w:rPr>
              <w:t>1.037</w:t>
            </w:r>
          </w:p>
        </w:tc>
        <w:tc>
          <w:tcPr>
            <w:tcW w:type="dxa" w:w="1440"/>
          </w:tcPr>
          <w:p>
            <w:r>
              <w:rPr>
                <w:rFonts w:ascii="微软雅黑" w:hAnsi="微软雅黑"/>
                <w:sz w:val="18"/>
              </w:rPr>
              <w:t>略差</w:t>
            </w:r>
          </w:p>
        </w:tc>
      </w:tr>
      <w:tr>
        <w:tc>
          <w:tcPr>
            <w:tcW w:type="dxa" w:w="1440"/>
          </w:tcPr>
          <w:p>
            <w:r>
              <w:rPr>
                <w:rFonts w:ascii="微软雅黑" w:hAnsi="微软雅黑"/>
                <w:sz w:val="18"/>
              </w:rPr>
              <w:t>PDF内容摘要</w:t>
            </w:r>
          </w:p>
        </w:tc>
        <w:tc>
          <w:tcPr>
            <w:tcW w:type="dxa" w:w="1440"/>
          </w:tcPr>
          <w:p>
            <w:r>
              <w:rPr>
                <w:rFonts w:ascii="微软雅黑" w:hAnsi="微软雅黑"/>
                <w:sz w:val="18"/>
              </w:rPr>
              <w:t>12.416</w:t>
            </w:r>
          </w:p>
        </w:tc>
        <w:tc>
          <w:tcPr>
            <w:tcW w:type="dxa" w:w="1440"/>
          </w:tcPr>
          <w:p>
            <w:r>
              <w:rPr>
                <w:rFonts w:ascii="微软雅黑" w:hAnsi="微软雅黑"/>
                <w:sz w:val="18"/>
              </w:rPr>
              <w:t>19.824</w:t>
            </w:r>
          </w:p>
        </w:tc>
        <w:tc>
          <w:tcPr>
            <w:tcW w:type="dxa" w:w="1440"/>
          </w:tcPr>
          <w:p>
            <w:r>
              <w:rPr>
                <w:rFonts w:ascii="微软雅黑" w:hAnsi="微软雅黑"/>
                <w:sz w:val="18"/>
              </w:rPr>
              <w:t>0.615</w:t>
            </w:r>
          </w:p>
        </w:tc>
        <w:tc>
          <w:tcPr>
            <w:tcW w:type="dxa" w:w="1440"/>
          </w:tcPr>
          <w:p>
            <w:r>
              <w:rPr>
                <w:rFonts w:ascii="微软雅黑" w:hAnsi="微软雅黑"/>
                <w:sz w:val="18"/>
              </w:rPr>
              <w:t>1.189</w:t>
            </w:r>
          </w:p>
        </w:tc>
        <w:tc>
          <w:tcPr>
            <w:tcW w:type="dxa" w:w="1440"/>
          </w:tcPr>
          <w:p>
            <w:r>
              <w:rPr>
                <w:rFonts w:ascii="微软雅黑" w:hAnsi="微软雅黑"/>
                <w:sz w:val="18"/>
              </w:rPr>
              <w:t>相当</w:t>
            </w:r>
          </w:p>
        </w:tc>
      </w:tr>
      <w:tr>
        <w:tc>
          <w:tcPr>
            <w:tcW w:type="dxa" w:w="1440"/>
          </w:tcPr>
          <w:p>
            <w:r>
              <w:rPr>
                <w:rFonts w:ascii="微软雅黑" w:hAnsi="微软雅黑"/>
                <w:sz w:val="18"/>
              </w:rPr>
              <w:t>PDF转Markdown</w:t>
            </w:r>
          </w:p>
        </w:tc>
        <w:tc>
          <w:tcPr>
            <w:tcW w:type="dxa" w:w="1440"/>
          </w:tcPr>
          <w:p>
            <w:r>
              <w:rPr>
                <w:rFonts w:ascii="微软雅黑" w:hAnsi="微软雅黑"/>
                <w:sz w:val="18"/>
              </w:rPr>
              <w:t>39.627</w:t>
            </w:r>
          </w:p>
        </w:tc>
        <w:tc>
          <w:tcPr>
            <w:tcW w:type="dxa" w:w="1440"/>
          </w:tcPr>
          <w:p>
            <w:r>
              <w:rPr>
                <w:rFonts w:ascii="微软雅黑" w:hAnsi="微软雅黑"/>
                <w:sz w:val="18"/>
              </w:rPr>
              <w:t>26.303</w:t>
            </w:r>
          </w:p>
        </w:tc>
        <w:tc>
          <w:tcPr>
            <w:tcW w:type="dxa" w:w="1440"/>
          </w:tcPr>
          <w:p>
            <w:r>
              <w:rPr>
                <w:rFonts w:ascii="微软雅黑" w:hAnsi="微软雅黑"/>
                <w:sz w:val="18"/>
              </w:rPr>
              <w:t>0.599</w:t>
            </w:r>
          </w:p>
        </w:tc>
        <w:tc>
          <w:tcPr>
            <w:tcW w:type="dxa" w:w="1440"/>
          </w:tcPr>
          <w:p>
            <w:r>
              <w:rPr>
                <w:rFonts w:ascii="微软雅黑" w:hAnsi="微软雅黑"/>
                <w:sz w:val="18"/>
              </w:rPr>
              <w:t>1.129</w:t>
            </w:r>
          </w:p>
        </w:tc>
        <w:tc>
          <w:tcPr>
            <w:tcW w:type="dxa" w:w="1440"/>
          </w:tcPr>
          <w:p>
            <w:r>
              <w:rPr>
                <w:rFonts w:ascii="微软雅黑" w:hAnsi="微软雅黑"/>
                <w:sz w:val="18"/>
              </w:rPr>
              <w:t>略优</w:t>
            </w:r>
          </w:p>
        </w:tc>
      </w:tr>
      <w:tr>
        <w:tc>
          <w:tcPr>
            <w:tcW w:type="dxa" w:w="1440"/>
          </w:tcPr>
          <w:p>
            <w:r>
              <w:rPr>
                <w:rFonts w:ascii="微软雅黑" w:hAnsi="微软雅黑"/>
                <w:sz w:val="18"/>
              </w:rPr>
              <w:t>PPT内容摘要</w:t>
            </w:r>
          </w:p>
        </w:tc>
        <w:tc>
          <w:tcPr>
            <w:tcW w:type="dxa" w:w="1440"/>
          </w:tcPr>
          <w:p>
            <w:r>
              <w:rPr>
                <w:rFonts w:ascii="微软雅黑" w:hAnsi="微软雅黑"/>
                <w:sz w:val="18"/>
              </w:rPr>
              <w:t>32.84</w:t>
            </w:r>
          </w:p>
        </w:tc>
        <w:tc>
          <w:tcPr>
            <w:tcW w:type="dxa" w:w="1440"/>
          </w:tcPr>
          <w:p>
            <w:r>
              <w:rPr>
                <w:rFonts w:ascii="微软雅黑" w:hAnsi="微软雅黑"/>
                <w:sz w:val="18"/>
              </w:rPr>
              <w:t>29.105</w:t>
            </w:r>
          </w:p>
        </w:tc>
        <w:tc>
          <w:tcPr>
            <w:tcW w:type="dxa" w:w="1440"/>
          </w:tcPr>
          <w:p>
            <w:r>
              <w:rPr>
                <w:rFonts w:ascii="微软雅黑" w:hAnsi="微软雅黑"/>
                <w:sz w:val="18"/>
              </w:rPr>
              <w:t>0.579</w:t>
            </w:r>
          </w:p>
        </w:tc>
        <w:tc>
          <w:tcPr>
            <w:tcW w:type="dxa" w:w="1440"/>
          </w:tcPr>
          <w:p>
            <w:r>
              <w:rPr>
                <w:rFonts w:ascii="微软雅黑" w:hAnsi="微软雅黑"/>
                <w:sz w:val="18"/>
              </w:rPr>
              <w:t>1.258</w:t>
            </w:r>
          </w:p>
        </w:tc>
        <w:tc>
          <w:tcPr>
            <w:tcW w:type="dxa" w:w="1440"/>
          </w:tcPr>
          <w:p>
            <w:r>
              <w:rPr>
                <w:rFonts w:ascii="微软雅黑" w:hAnsi="微软雅黑"/>
                <w:sz w:val="18"/>
              </w:rPr>
              <w:t>相当</w:t>
            </w:r>
          </w:p>
        </w:tc>
      </w:tr>
      <w:tr>
        <w:tc>
          <w:tcPr>
            <w:tcW w:type="dxa" w:w="1440"/>
          </w:tcPr>
          <w:p>
            <w:r>
              <w:rPr>
                <w:rFonts w:ascii="微软雅黑" w:hAnsi="微软雅黑"/>
                <w:sz w:val="18"/>
              </w:rPr>
              <w:t>PPT转Markdown</w:t>
            </w:r>
          </w:p>
        </w:tc>
        <w:tc>
          <w:tcPr>
            <w:tcW w:type="dxa" w:w="1440"/>
          </w:tcPr>
          <w:p>
            <w:r>
              <w:rPr>
                <w:rFonts w:ascii="微软雅黑" w:hAnsi="微软雅黑"/>
                <w:sz w:val="18"/>
              </w:rPr>
              <w:t>85.948</w:t>
            </w:r>
          </w:p>
        </w:tc>
        <w:tc>
          <w:tcPr>
            <w:tcW w:type="dxa" w:w="1440"/>
          </w:tcPr>
          <w:p>
            <w:r>
              <w:rPr>
                <w:rFonts w:ascii="微软雅黑" w:hAnsi="微软雅黑"/>
                <w:sz w:val="18"/>
              </w:rPr>
              <w:t>74.972</w:t>
            </w:r>
          </w:p>
        </w:tc>
        <w:tc>
          <w:tcPr>
            <w:tcW w:type="dxa" w:w="1440"/>
          </w:tcPr>
          <w:p>
            <w:r>
              <w:rPr>
                <w:rFonts w:ascii="微软雅黑" w:hAnsi="微软雅黑"/>
                <w:sz w:val="18"/>
              </w:rPr>
              <w:t>0.615</w:t>
            </w:r>
          </w:p>
        </w:tc>
        <w:tc>
          <w:tcPr>
            <w:tcW w:type="dxa" w:w="1440"/>
          </w:tcPr>
          <w:p>
            <w:r>
              <w:rPr>
                <w:rFonts w:ascii="微软雅黑" w:hAnsi="微软雅黑"/>
                <w:sz w:val="18"/>
              </w:rPr>
              <w:t>1.168</w:t>
            </w:r>
          </w:p>
        </w:tc>
        <w:tc>
          <w:tcPr>
            <w:tcW w:type="dxa" w:w="1440"/>
          </w:tcPr>
          <w:p>
            <w:r>
              <w:rPr>
                <w:rFonts w:ascii="微软雅黑" w:hAnsi="微软雅黑"/>
                <w:sz w:val="18"/>
              </w:rPr>
              <w:t>相当</w:t>
            </w:r>
          </w:p>
        </w:tc>
      </w:tr>
      <w:tr>
        <w:tc>
          <w:tcPr>
            <w:tcW w:type="dxa" w:w="1440"/>
          </w:tcPr>
          <w:p>
            <w:r>
              <w:rPr>
                <w:rFonts w:ascii="微软雅黑" w:hAnsi="微软雅黑"/>
                <w:sz w:val="18"/>
              </w:rPr>
              <w:t>意图提取</w:t>
            </w:r>
          </w:p>
        </w:tc>
        <w:tc>
          <w:tcPr>
            <w:tcW w:type="dxa" w:w="1440"/>
          </w:tcPr>
          <w:p>
            <w:r>
              <w:rPr>
                <w:rFonts w:ascii="微软雅黑" w:hAnsi="微软雅黑"/>
                <w:sz w:val="18"/>
              </w:rPr>
              <w:t>0.661</w:t>
            </w:r>
          </w:p>
        </w:tc>
        <w:tc>
          <w:tcPr>
            <w:tcW w:type="dxa" w:w="1440"/>
          </w:tcPr>
          <w:p>
            <w:r>
              <w:rPr>
                <w:rFonts w:ascii="微软雅黑" w:hAnsi="微软雅黑"/>
                <w:sz w:val="18"/>
              </w:rPr>
              <w:t>1.449</w:t>
            </w:r>
          </w:p>
        </w:tc>
        <w:tc>
          <w:tcPr>
            <w:tcW w:type="dxa" w:w="1440"/>
          </w:tcPr>
          <w:p>
            <w:r>
              <w:rPr>
                <w:rFonts w:ascii="微软雅黑" w:hAnsi="微软雅黑"/>
                <w:sz w:val="18"/>
              </w:rPr>
              <w:t>0.337</w:t>
            </w:r>
          </w:p>
        </w:tc>
        <w:tc>
          <w:tcPr>
            <w:tcW w:type="dxa" w:w="1440"/>
          </w:tcPr>
          <w:p>
            <w:r>
              <w:rPr>
                <w:rFonts w:ascii="微软雅黑" w:hAnsi="微软雅黑"/>
                <w:sz w:val="18"/>
              </w:rPr>
              <w:t>1.118</w:t>
            </w:r>
          </w:p>
        </w:tc>
        <w:tc>
          <w:tcPr>
            <w:tcW w:type="dxa" w:w="1440"/>
          </w:tcPr>
          <w:p>
            <w:r>
              <w:rPr>
                <w:rFonts w:ascii="微软雅黑" w:hAnsi="微软雅黑"/>
                <w:sz w:val="18"/>
              </w:rPr>
              <w:t>略差</w:t>
            </w:r>
          </w:p>
        </w:tc>
      </w:tr>
      <w:tr>
        <w:tc>
          <w:tcPr>
            <w:tcW w:type="dxa" w:w="1440"/>
          </w:tcPr>
          <w:p>
            <w:r>
              <w:rPr>
                <w:rFonts w:ascii="微软雅黑" w:hAnsi="微软雅黑"/>
                <w:sz w:val="18"/>
              </w:rPr>
              <w:t>实体提取</w:t>
            </w:r>
          </w:p>
        </w:tc>
        <w:tc>
          <w:tcPr>
            <w:tcW w:type="dxa" w:w="1440"/>
          </w:tcPr>
          <w:p>
            <w:r>
              <w:rPr>
                <w:rFonts w:ascii="微软雅黑" w:hAnsi="微软雅黑"/>
                <w:sz w:val="18"/>
              </w:rPr>
              <w:t>3.479</w:t>
            </w:r>
          </w:p>
        </w:tc>
        <w:tc>
          <w:tcPr>
            <w:tcW w:type="dxa" w:w="1440"/>
          </w:tcPr>
          <w:p>
            <w:r>
              <w:rPr>
                <w:rFonts w:ascii="微软雅黑" w:hAnsi="微软雅黑"/>
                <w:sz w:val="18"/>
              </w:rPr>
              <w:t>3.274</w:t>
            </w:r>
          </w:p>
        </w:tc>
        <w:tc>
          <w:tcPr>
            <w:tcW w:type="dxa" w:w="1440"/>
          </w:tcPr>
          <w:p>
            <w:r>
              <w:rPr>
                <w:rFonts w:ascii="微软雅黑" w:hAnsi="微软雅黑"/>
                <w:sz w:val="18"/>
              </w:rPr>
              <w:t>0.351</w:t>
            </w:r>
          </w:p>
        </w:tc>
        <w:tc>
          <w:tcPr>
            <w:tcW w:type="dxa" w:w="1440"/>
          </w:tcPr>
          <w:p>
            <w:r>
              <w:rPr>
                <w:rFonts w:ascii="微软雅黑" w:hAnsi="微软雅黑"/>
                <w:sz w:val="18"/>
              </w:rPr>
              <w:t>1.134</w:t>
            </w:r>
          </w:p>
        </w:tc>
        <w:tc>
          <w:tcPr>
            <w:tcW w:type="dxa" w:w="1440"/>
          </w:tcPr>
          <w:p>
            <w:r>
              <w:rPr>
                <w:rFonts w:ascii="微软雅黑" w:hAnsi="微软雅黑"/>
                <w:sz w:val="18"/>
              </w:rPr>
              <w:t>相当</w:t>
            </w:r>
          </w:p>
        </w:tc>
      </w:tr>
      <w:tr>
        <w:tc>
          <w:tcPr>
            <w:tcW w:type="dxa" w:w="1440"/>
          </w:tcPr>
          <w:p>
            <w:r>
              <w:rPr>
                <w:rFonts w:ascii="微软雅黑" w:hAnsi="微软雅黑"/>
                <w:sz w:val="18"/>
              </w:rPr>
              <w:t>文档QA生成</w:t>
            </w:r>
          </w:p>
        </w:tc>
        <w:tc>
          <w:tcPr>
            <w:tcW w:type="dxa" w:w="1440"/>
          </w:tcPr>
          <w:p>
            <w:r>
              <w:rPr>
                <w:rFonts w:ascii="微软雅黑" w:hAnsi="微软雅黑"/>
                <w:sz w:val="18"/>
              </w:rPr>
              <w:t>19.175</w:t>
            </w:r>
          </w:p>
        </w:tc>
        <w:tc>
          <w:tcPr>
            <w:tcW w:type="dxa" w:w="1440"/>
          </w:tcPr>
          <w:p>
            <w:r>
              <w:rPr>
                <w:rFonts w:ascii="微软雅黑" w:hAnsi="微软雅黑"/>
                <w:sz w:val="18"/>
              </w:rPr>
              <w:t>10.991</w:t>
            </w:r>
          </w:p>
        </w:tc>
        <w:tc>
          <w:tcPr>
            <w:tcW w:type="dxa" w:w="1440"/>
          </w:tcPr>
          <w:p>
            <w:r>
              <w:rPr>
                <w:rFonts w:ascii="微软雅黑" w:hAnsi="微软雅黑"/>
                <w:sz w:val="18"/>
              </w:rPr>
              <w:t>0.433</w:t>
            </w:r>
          </w:p>
        </w:tc>
        <w:tc>
          <w:tcPr>
            <w:tcW w:type="dxa" w:w="1440"/>
          </w:tcPr>
          <w:p>
            <w:r>
              <w:rPr>
                <w:rFonts w:ascii="微软雅黑" w:hAnsi="微软雅黑"/>
                <w:sz w:val="18"/>
              </w:rPr>
              <w:t>1.072</w:t>
            </w:r>
          </w:p>
        </w:tc>
        <w:tc>
          <w:tcPr>
            <w:tcW w:type="dxa" w:w="1440"/>
          </w:tcPr>
          <w:p>
            <w:r>
              <w:rPr>
                <w:rFonts w:ascii="微软雅黑" w:hAnsi="微软雅黑"/>
                <w:sz w:val="18"/>
              </w:rPr>
              <w:t>略优</w:t>
            </w:r>
          </w:p>
        </w:tc>
      </w:tr>
      <w:tr>
        <w:tc>
          <w:tcPr>
            <w:tcW w:type="dxa" w:w="1440"/>
          </w:tcPr>
          <w:p>
            <w:r>
              <w:rPr>
                <w:rFonts w:ascii="微软雅黑" w:hAnsi="微软雅黑"/>
                <w:sz w:val="18"/>
              </w:rPr>
              <w:t>核心会话提取</w:t>
            </w:r>
          </w:p>
        </w:tc>
        <w:tc>
          <w:tcPr>
            <w:tcW w:type="dxa" w:w="1440"/>
          </w:tcPr>
          <w:p>
            <w:r>
              <w:rPr>
                <w:rFonts w:ascii="微软雅黑" w:hAnsi="微软雅黑"/>
                <w:sz w:val="18"/>
              </w:rPr>
              <w:t>3.058</w:t>
            </w:r>
          </w:p>
        </w:tc>
        <w:tc>
          <w:tcPr>
            <w:tcW w:type="dxa" w:w="1440"/>
          </w:tcPr>
          <w:p>
            <w:r>
              <w:rPr>
                <w:rFonts w:ascii="微软雅黑" w:hAnsi="微软雅黑"/>
                <w:sz w:val="18"/>
              </w:rPr>
              <w:t>3.494</w:t>
            </w:r>
          </w:p>
        </w:tc>
        <w:tc>
          <w:tcPr>
            <w:tcW w:type="dxa" w:w="1440"/>
          </w:tcPr>
          <w:p>
            <w:r>
              <w:rPr>
                <w:rFonts w:ascii="微软雅黑" w:hAnsi="微软雅黑"/>
                <w:sz w:val="18"/>
              </w:rPr>
              <w:t>0.296</w:t>
            </w:r>
          </w:p>
        </w:tc>
        <w:tc>
          <w:tcPr>
            <w:tcW w:type="dxa" w:w="1440"/>
          </w:tcPr>
          <w:p>
            <w:r>
              <w:rPr>
                <w:rFonts w:ascii="微软雅黑" w:hAnsi="微软雅黑"/>
                <w:sz w:val="18"/>
              </w:rPr>
              <w:t>1.1</w:t>
            </w:r>
          </w:p>
        </w:tc>
        <w:tc>
          <w:tcPr>
            <w:tcW w:type="dxa" w:w="1440"/>
          </w:tcPr>
          <w:p>
            <w:r>
              <w:rPr>
                <w:rFonts w:ascii="微软雅黑" w:hAnsi="微软雅黑"/>
                <w:sz w:val="18"/>
              </w:rPr>
              <w:t>相当</w:t>
            </w:r>
          </w:p>
        </w:tc>
      </w:tr>
      <w:tr>
        <w:tc>
          <w:tcPr>
            <w:tcW w:type="dxa" w:w="1440"/>
          </w:tcPr>
          <w:p>
            <w:r>
              <w:rPr>
                <w:rFonts w:ascii="微软雅黑" w:hAnsi="微软雅黑"/>
                <w:sz w:val="18"/>
              </w:rPr>
              <w:t>负样本生成</w:t>
            </w:r>
          </w:p>
        </w:tc>
        <w:tc>
          <w:tcPr>
            <w:tcW w:type="dxa" w:w="1440"/>
          </w:tcPr>
          <w:p>
            <w:r>
              <w:rPr>
                <w:rFonts w:ascii="微软雅黑" w:hAnsi="微软雅黑"/>
                <w:sz w:val="18"/>
              </w:rPr>
              <w:t>1.084</w:t>
            </w:r>
          </w:p>
        </w:tc>
        <w:tc>
          <w:tcPr>
            <w:tcW w:type="dxa" w:w="1440"/>
          </w:tcPr>
          <w:p>
            <w:r>
              <w:rPr>
                <w:rFonts w:ascii="微软雅黑" w:hAnsi="微软雅黑"/>
                <w:sz w:val="18"/>
              </w:rPr>
              <w:t>10.291</w:t>
            </w:r>
          </w:p>
        </w:tc>
        <w:tc>
          <w:tcPr>
            <w:tcW w:type="dxa" w:w="1440"/>
          </w:tcPr>
          <w:p>
            <w:r>
              <w:rPr>
                <w:rFonts w:ascii="微软雅黑" w:hAnsi="微软雅黑"/>
                <w:sz w:val="18"/>
              </w:rPr>
              <w:t>0.33</w:t>
            </w:r>
          </w:p>
        </w:tc>
        <w:tc>
          <w:tcPr>
            <w:tcW w:type="dxa" w:w="1440"/>
          </w:tcPr>
          <w:p>
            <w:r>
              <w:rPr>
                <w:rFonts w:ascii="微软雅黑" w:hAnsi="微软雅黑"/>
                <w:sz w:val="18"/>
              </w:rPr>
              <w:t>1.121</w:t>
            </w:r>
          </w:p>
        </w:tc>
        <w:tc>
          <w:tcPr>
            <w:tcW w:type="dxa" w:w="1440"/>
          </w:tcPr>
          <w:p>
            <w:r>
              <w:rPr>
                <w:rFonts w:ascii="微软雅黑" w:hAnsi="微软雅黑"/>
                <w:sz w:val="18"/>
              </w:rPr>
              <w:t>相当</w:t>
            </w:r>
          </w:p>
        </w:tc>
      </w:tr>
    </w:tbl>
    <w:p>
      <w:pPr>
        <w:pStyle w:val="Heading1"/>
      </w:pPr>
      <w:r>
        <w:t>四、各用例详细对比</w:t>
      </w:r>
    </w:p>
    <w:p>
      <w:pPr>
        <w:pStyle w:val="Heading2"/>
      </w:pPr>
      <w:r>
        <w:t>基础问答</w:t>
      </w:r>
    </w:p>
    <w:p>
      <w:r>
        <w:rPr>
          <w:rFonts w:ascii="微软雅黑" w:hAnsi="微软雅黑"/>
          <w:b/>
          <w:sz w:val="20"/>
        </w:rPr>
        <w:t>【Qwen2.5-72B】</w:t>
      </w:r>
      <w:r>
        <w:t xml:space="preserve">  耗时=0.305s, 首token=0.305s, tokens=2</w:t>
      </w:r>
    </w:p>
    <w:p>
      <w:r>
        <w:rPr>
          <w:rFonts w:ascii="微软雅黑" w:hAnsi="微软雅黑"/>
          <w:color w:val="333333"/>
          <w:sz w:val="18"/>
        </w:rPr>
        <w:t>ok</w:t>
      </w:r>
    </w:p>
    <w:p>
      <w:r>
        <w:rPr>
          <w:rFonts w:ascii="微软雅黑" w:hAnsi="微软雅黑"/>
          <w:b/>
          <w:sz w:val="20"/>
        </w:rPr>
        <w:t>【Qwen3.5-27B】</w:t>
      </w:r>
      <w:r>
        <w:t xml:space="preserve">  耗时=2.002s, 首token=1.831s, tokens=2</w:t>
      </w:r>
    </w:p>
    <w:p>
      <w:r>
        <w:rPr>
          <w:rFonts w:ascii="微软雅黑" w:hAnsi="微软雅黑"/>
          <w:color w:val="333333"/>
          <w:sz w:val="18"/>
        </w:rPr>
        <w:t>ok</w:t>
      </w:r>
    </w:p>
    <w:p>
      <w:pPr>
        <w:pStyle w:val="Heading2"/>
      </w:pPr>
      <w:r>
        <w:t>规则理解</w:t>
      </w:r>
    </w:p>
    <w:p>
      <w:r>
        <w:rPr>
          <w:rFonts w:ascii="微软雅黑" w:hAnsi="微软雅黑"/>
          <w:b/>
          <w:sz w:val="20"/>
        </w:rPr>
        <w:t>【Qwen2.5-72B】</w:t>
      </w:r>
      <w:r>
        <w:t xml:space="preserve">  耗时=2.73s, 首token=0.303s, tokens=36</w:t>
      </w:r>
    </w:p>
    <w:p>
      <w:r>
        <w:rPr>
          <w:rFonts w:ascii="微软雅黑" w:hAnsi="微软雅黑"/>
          <w:color w:val="333333"/>
          <w:sz w:val="18"/>
        </w:rPr>
        <w:t>1. CSV表格数据，JSON键值对结构。</w:t>
        <w:br/>
        <w:t>2. CSV简单易读，JSON支持复杂数据。</w:t>
        <w:br/>
        <w:t>3. CSV适合表格，JSON适用于网络传输。</w:t>
      </w:r>
    </w:p>
    <w:p>
      <w:r>
        <w:rPr>
          <w:rFonts w:ascii="微软雅黑" w:hAnsi="微软雅黑"/>
          <w:b/>
          <w:sz w:val="20"/>
        </w:rPr>
        <w:t>【Qwen3.5-27B】</w:t>
      </w:r>
      <w:r>
        <w:t xml:space="preserve">  耗时=4.783s, 首token=1.037s, tokens=46</w:t>
      </w:r>
    </w:p>
    <w:p>
      <w:r>
        <w:rPr>
          <w:rFonts w:ascii="微软雅黑" w:hAnsi="微软雅黑"/>
          <w:color w:val="333333"/>
          <w:sz w:val="18"/>
        </w:rPr>
        <w:t>1. CSV 为纯文本表格，JSON 为结构化键值对。</w:t>
        <w:br/>
        <w:t>2. CSV 无数据类型，JSON 支持多种数据类型。</w:t>
        <w:br/>
        <w:t>3. CSV 结构简单，JSON 可嵌套复杂层级。</w:t>
      </w:r>
    </w:p>
    <w:p>
      <w:pPr>
        <w:pStyle w:val="Heading2"/>
      </w:pPr>
      <w:r>
        <w:t>PDF内容摘要</w:t>
      </w:r>
    </w:p>
    <w:p>
      <w:r>
        <w:rPr>
          <w:rFonts w:ascii="微软雅黑" w:hAnsi="微软雅黑"/>
          <w:b/>
          <w:sz w:val="20"/>
        </w:rPr>
        <w:t>【Qwen2.5-72B】</w:t>
      </w:r>
      <w:r>
        <w:t xml:space="preserve">  耗时=12.416s, 首token=0.615s, tokens=160</w:t>
      </w:r>
    </w:p>
    <w:p>
      <w:r>
        <w:rPr>
          <w:rFonts w:ascii="微软雅黑" w:hAnsi="微软雅黑"/>
          <w:color w:val="333333"/>
          <w:sz w:val="18"/>
        </w:rPr>
        <w:t>### 主要内容总结</w:t>
        <w:br/>
        <w:br/>
        <w:t>该通知由中国联通集团发布，旨在修订并重新印发《中国联通互联网专线业务管理规定》，以进一步规范互联网专线业务的管理，促进其健康发展。通知详细列出了修订的主要内容，并指明了适用范围和相关联系人信息。</w:t>
        <w:br/>
        <w:br/>
        <w:t>### 3条要点</w:t>
        <w:br/>
        <w:br/>
        <w:t>1. **修订和完善业务定义与分类**：对互联网专线业务进行了更明确的定义和分类，以便更好地适应当前的市场和技术环境。</w:t>
        <w:br/>
        <w:t>2. **更新管理职责**：明确了集团公司和省级分公司相关部门在互联网专线业务中的具体职责，确保责任落实到位。</w:t>
        <w:br/>
        <w:t>3. **新增客户资质审核要求**：根据主管部门的要求，增加了客户资质审核、IP地址域名解析服务端口等新的管理要求，以加强风险控制。</w:t>
      </w:r>
    </w:p>
    <w:p>
      <w:r>
        <w:rPr>
          <w:rFonts w:ascii="微软雅黑" w:hAnsi="微软雅黑"/>
          <w:b/>
          <w:sz w:val="20"/>
        </w:rPr>
        <w:t>【Qwen3.5-27B】</w:t>
      </w:r>
      <w:r>
        <w:t xml:space="preserve">  耗时=19.824s, 首token=1.189s, tokens=270</w:t>
      </w:r>
    </w:p>
    <w:p>
      <w:r>
        <w:rPr>
          <w:rFonts w:ascii="微软雅黑" w:hAnsi="微软雅黑"/>
          <w:color w:val="333333"/>
          <w:sz w:val="18"/>
        </w:rPr>
        <w:t>### 主要内容总结</w:t>
        <w:br/>
        <w:t>该文本是中国联通集团于 2024 年 10 月 23 日发布的《关于修订印发〈中国联通互联网专线业务管理规定〉的通知》（2024‟250 号）及其规定正文（V4.0 版）。文件旨在适应监管环境与市场竞争，进一步规范互联网专线业务管理，促进业务健康发展。新规明确了业务定义、适用范围（排除互联网骨干网单位），并详细列出了五大核心修订内容，涵盖业务分类、管理职责、审批流程、合规审核及违规管控等方面，要求各级分公司遵照执行。</w:t>
        <w:br/>
        <w:br/>
        <w:t>### 三条要点</w:t>
        <w:br/>
        <w:t>1. **完善业务基础定义与职责分工**：修订并细化了互联网专线业务的定义与分类，同时补充明确了集团公司与省级分公司相关部门的具体管理职责，以理顺管理流程。</w:t>
        <w:br/>
        <w:t>2. **强化合规审核与流程管理**：根据主管部门要求，新增了客户资质审核、IP 地址及域名解析服务端口等关键管理要求，并同步修订了业务审批、开通及测试的相关规定。</w:t>
        <w:br/>
        <w:t>3. **明确违规管控与适用范围**：重新修订了各级分公司违规行为的定义以加强管控，同时明确本规定适用于中国联通及其分公司（含联通数字科技），但互联网骨干网单位除外（按专门办法执行）。</w:t>
      </w:r>
    </w:p>
    <w:p>
      <w:pPr>
        <w:pStyle w:val="Heading2"/>
      </w:pPr>
      <w:r>
        <w:t>PDF转Markdown</w:t>
      </w:r>
    </w:p>
    <w:p>
      <w:r>
        <w:rPr>
          <w:rFonts w:ascii="微软雅黑" w:hAnsi="微软雅黑"/>
          <w:b/>
          <w:sz w:val="20"/>
        </w:rPr>
        <w:t>【Qwen2.5-72B】</w:t>
      </w:r>
      <w:r>
        <w:t xml:space="preserve">  耗时=39.627s, 首token=0.599s, tokens=528</w:t>
      </w:r>
    </w:p>
    <w:p>
      <w:r>
        <w:rPr>
          <w:rFonts w:ascii="微软雅黑" w:hAnsi="微软雅黑"/>
          <w:color w:val="333333"/>
          <w:sz w:val="18"/>
        </w:rPr>
        <w:t>```markdown</w:t>
        <w:br/>
        <w:t># 中国联通集团 „2024‟250号</w:t>
        <w:br/>
        <w:br/>
        <w:t>## 关于修订印发《中国联通互联网专线业务管理规定》的通知</w:t>
        <w:br/>
        <w:br/>
        <w:t>### 各省、自治区、直辖市分公司：</w:t>
        <w:br/>
        <w:br/>
        <w:t>为进一步规范互联网专线业务管理，促进业务健康发展，现将修订后的《中国联通互联网专线业务管理规定》印发给你们，请遵照执行。主要修订内容说明如下：</w:t>
        <w:br/>
        <w:br/>
        <w:t>1. **修订完善互联网专线业务定义与分类**；</w:t>
        <w:br/>
        <w:t>2. **修订补充集团公司、省级分公司相关部门管理职责**；</w:t>
        <w:br/>
        <w:t>3. **根据业务发展需要修订业务审批管理、业务开通及测试管理规定**；</w:t>
        <w:br/>
        <w:t>4. **根据主管部门相关要求新增客户资质审核、IP地址域名解析服务端口等管理要求**；</w:t>
        <w:br/>
        <w:t>5. **修订各级分公司违规行为定义**。</w:t>
        <w:br/>
        <w:br/>
        <w:t>各单位在本规定执行过程中，如有问题请及时向集团公司反馈。</w:t>
        <w:br/>
        <w:br/>
        <w:t>#### 联系人及联系方式：</w:t>
        <w:br/>
        <w:t>- 赵丽萍，18601102027，zhaolp@chinaunicom.cn。</w:t>
        <w:br/>
        <w:br/>
        <w:t>---</w:t>
        <w:br/>
        <w:br/>
        <w:t>### 中国联合网络通信集团有限公司</w:t>
        <w:br/>
        <w:t>#### 2024年10月23日</w:t>
        <w:br/>
        <w:br/>
        <w:t>---</w:t>
        <w:br/>
        <w:br/>
        <w:t># 中国联通互联网专线业务管理规定</w:t>
        <w:br/>
        <w:t>（二级制度，V4.0）</w:t>
        <w:br/>
        <w:br/>
        <w:t>## 第一章 总则</w:t>
        <w:br/>
        <w:br/>
        <w:t>### 第一条</w:t>
        <w:br/>
        <w:t>为适应互联网专线业务的监管环境与市场竞争需要，进一步规范互联网专线业务管理，促进业务良性有序发展，依据工业和信息化部有关文件，特制定本规定。</w:t>
        <w:br/>
        <w:br/>
        <w:t>### 第二条</w:t>
        <w:br/>
        <w:t>本规定明确了以下内容：</w:t>
        <w:br/>
        <w:t>- 互联网专线业务定义与分类</w:t>
        <w:br/>
        <w:t>- 管理职责分工</w:t>
        <w:br/>
        <w:t>- 业务审批管理规定</w:t>
        <w:br/>
        <w:t>- 客户资质审核</w:t>
        <w:br/>
        <w:t>- 业务管理规定</w:t>
        <w:br/>
        <w:t>- 业务开通及测试规定</w:t>
        <w:br/>
        <w:t>- 违规管控规定</w:t>
        <w:br/>
        <w:t>- 监督管理工作</w:t>
        <w:br/>
        <w:br/>
        <w:t>### 第三条</w:t>
        <w:br/>
        <w:t>本规定适用于中国联合网络通信集团有限公司、中国联合网络通信有限公司（合称“中国联通”）及其分公司；联通数字科技有限公司；除互联网骨干网单位（指国家批准的互联网骨干网经营单位，名单见附件1）之外的商业客户。互联网骨干网单位的管理按照《中国联通互联网骨干网网间互联管理办法》（中国联通集团„2021‟114号）执行。</w:t>
        <w:br/>
        <w:br/>
        <w:t>## 第二章 业务定义与分类</w:t>
        <w:br/>
        <w:br/>
        <w:t xml:space="preserve">### 第四条 业 务 定义  </w:t>
        <w:br/>
        <w:t>internet dedicated line service (IDLS) 是指通过专用链路将客户网络及设备接入互联网，为客户提供多种速率的实时在线上网服务及延伸性增值服务。</w:t>
        <w:br/>
        <w:t>```</w:t>
      </w:r>
    </w:p>
    <w:p>
      <w:r>
        <w:rPr>
          <w:rFonts w:ascii="微软雅黑" w:hAnsi="微软雅黑"/>
          <w:b/>
          <w:sz w:val="20"/>
        </w:rPr>
        <w:t>【Qwen3.5-27B】</w:t>
      </w:r>
      <w:r>
        <w:t xml:space="preserve">  耗时=26.303s, 首token=1.129s, tokens=484</w:t>
      </w:r>
    </w:p>
    <w:p>
      <w:r>
        <w:rPr>
          <w:rFonts w:ascii="微软雅黑" w:hAnsi="微软雅黑"/>
          <w:color w:val="333333"/>
          <w:sz w:val="18"/>
        </w:rPr>
        <w:t># 中国联通集团„2024‟250号</w:t>
        <w:br/>
        <w:br/>
        <w:t>## 关于修订印发《中国联通互联网专线业务管理规定》的通知</w:t>
        <w:br/>
        <w:br/>
        <w:t>**各省、自治区、直辖市分公司：**</w:t>
        <w:br/>
        <w:br/>
        <w:t>为进一步规范互联网专线业务管理，促进业务健康发展，现将修订后的《中国联通互联网专线业务管理规定》印发给你们，请遵照执行。主要修订内容说明如下：</w:t>
        <w:br/>
        <w:br/>
        <w:t>1. 修订完善互联网专线业务定义与分类；</w:t>
        <w:br/>
        <w:t>2. 修订补充集团公司、省级分公司相关部门管理职责；</w:t>
        <w:br/>
        <w:t>3. 根据业务发展需要修订业务审批管理、业务开通及测试管理规定；</w:t>
        <w:br/>
        <w:t>4. 根据主管部门相关要求新增客户资质审核、IP 地址域名解析服务端口等管理要求；</w:t>
        <w:br/>
        <w:t>5. 修订各级分公司违规行为定义。</w:t>
        <w:br/>
        <w:br/>
        <w:t>各单位在本规定执行过程中，如有问题请及时向集团公司反馈。</w:t>
        <w:br/>
        <w:br/>
        <w:t>**联系人及联系方式：**</w:t>
        <w:br/>
        <w:t>*   赵丽萍</w:t>
        <w:br/>
        <w:t>*   电话：18601102027</w:t>
        <w:br/>
        <w:t>*   邮箱：zhaolp@chinaunicom.cn</w:t>
        <w:br/>
        <w:br/>
        <w:t>&lt;br&gt;</w:t>
        <w:br/>
        <w:br/>
        <w:t>**中国联合网络通信集团有限公司**</w:t>
        <w:br/>
        <w:t>2024 年 10 月 23 日</w:t>
        <w:br/>
        <w:br/>
        <w:t>---</w:t>
        <w:br/>
        <w:br/>
        <w:t># 中国联通互联网专线业务管理规定</w:t>
        <w:br/>
        <w:t>**（二级制度，V4.0）**</w:t>
        <w:br/>
        <w:br/>
        <w:t>## 第一章 总则</w:t>
        <w:br/>
        <w:br/>
        <w:t>**第一条** 为适应互联网专线业务的监管环境与市场竞争需要，进一步规范互联网专线业务管理，促进业务良性有序发展，依据工业和信息化部有关文件，特制定本规定。</w:t>
        <w:br/>
        <w:br/>
        <w:t>**第二条** 本规定明确了互联网专线业务定义与分类、管理职责分工、业务审批管理规定、客户资质审核、业务管理规定、业务开通及测试规定、违规管控规定、监督管理规定等内容。</w:t>
        <w:br/>
        <w:br/>
        <w:t>**第三条** 本规定适用于中国联合网络通信集团有限公司、中国联合网络通信有限公司（合称“中国联通”）及其分公司，联通数字科技有限公司；本规定适用于除互联网骨干网单位（指国家批准的互联网骨干网经营单位，名单见附件 1）之外的商业客户，互联网骨干网单位管理按照《中国联通互联网骨干网网间互联管理办法》（中国联通集团„2021‟114 号）执行。</w:t>
        <w:br/>
        <w:br/>
        <w:t>## 第二章 业务定义与分类</w:t>
        <w:br/>
        <w:br/>
        <w:t>**第四条 业务定义**</w:t>
        <w:br/>
        <w:br/>
        <w:t>互联网专线业务是指通过专用链路将客户网络及设备接入互联网，为客户提供多种速率的实时在线上网服务及延伸性增值...</w:t>
      </w:r>
    </w:p>
    <w:p>
      <w:pPr>
        <w:pStyle w:val="Heading2"/>
      </w:pPr>
      <w:r>
        <w:t>PPT内容摘要</w:t>
      </w:r>
    </w:p>
    <w:p>
      <w:r>
        <w:rPr>
          <w:rFonts w:ascii="微软雅黑" w:hAnsi="微软雅黑"/>
          <w:b/>
          <w:sz w:val="20"/>
        </w:rPr>
        <w:t>【Qwen2.5-72B】</w:t>
      </w:r>
      <w:r>
        <w:t xml:space="preserve">  耗时=32.84s, 首token=0.579s, tokens=475</w:t>
      </w:r>
    </w:p>
    <w:p>
      <w:r>
        <w:rPr>
          <w:rFonts w:ascii="微软雅黑" w:hAnsi="微软雅黑"/>
          <w:color w:val="333333"/>
          <w:sz w:val="18"/>
        </w:rPr>
        <w:t>### 中国联通数字化转型产品体系交流总结</w:t>
        <w:br/>
        <w:br/>
        <w:t>#### 主要内容</w:t>
        <w:br/>
        <w:t>中国联通在过去四年中，通过“共平台、共能力、共技术栈、共研发体系”的策略，构建了一套集约化的数字化技术底座。该底座采用“平台+应用”的互联网架构，服务于全集团的IT系统研发、生产和运维。这一转型不仅提升了系统的可用性和安全性，还获得了多项国内外奖项和认可。</w:t>
        <w:br/>
        <w:br/>
        <w:t>#### 三大要点</w:t>
        <w:br/>
        <w:t>1. **数字化技术底座的建设**</w:t>
        <w:br/>
        <w:t xml:space="preserve">   - **架构与功能**：采用了“平台+应用”的互联网架构，包括云计算、云网络、云存储、微服务和云组件等核心模块。</w:t>
        <w:br/>
        <w:t xml:space="preserve">   - **规模与性能**：管理超过52亿行代码，支持800多个应用和2万多个监控点覆盖。容器云平台部署在全国6个数据中心，拥有5.6万个节点和70万个容器。</w:t>
        <w:br/>
        <w:t xml:space="preserve">   - **高可用性与安全性**：实现了99.87%的系统可用率，并且40.41%的问题可以通过AI智能化处理。</w:t>
        <w:br/>
        <w:br/>
        <w:t>2. **数字化转型成果**</w:t>
        <w:br/>
        <w:t xml:space="preserve">   - **行业认可**：在中国社会科学院发布的“2023数字化转型领军企业排行榜”中排名第一，在国资监管数智化专项行动验收中获得满分，并在信通院企业数字化转型综合评价中位列第一。</w:t>
        <w:br/>
        <w:t xml:space="preserve">   - **国际国内奖项**：“中国联通数字员工”项目在Gartner 2022年通信服务提供商创新奖上荣获亚太区冠军；BSS云化转型项目获亚太区第四名；“AI驱动的无线网络随心测”项目荣获TM Forum 2022年度“AI与数据洞察”卓越奖。</w:t>
        <w:br/>
        <w:t xml:space="preserve">   - **团队荣誉**：多次获得国资委、中国电子学会等机构颁发的奖项和荣誉。</w:t>
        <w:br/>
        <w:br/>
        <w:t>3. **数智产品和服务体系**</w:t>
        <w:br/>
        <w:t xml:space="preserve">   - **产品清单**：涵盖了119款针对具体应用场景的数字化平台和应用。</w:t>
        <w:br/>
        <w:t xml:space="preserve">   - **服务清单**：提供了32项方法论和运营模式的最佳实践解决方案。</w:t>
        <w:br/>
        <w:t xml:space="preserve">   - **能力清单**：形成了31项经过API封装后可调用的能力，如人脸识别和实名认证等。</w:t>
        <w:br/>
        <w:br/>
        <w:t>通过这些举措，中国联通不仅提升了自身的技术水平和服务质量，还在行业内树立了标杆地位。</w:t>
      </w:r>
    </w:p>
    <w:p>
      <w:r>
        <w:rPr>
          <w:rFonts w:ascii="微软雅黑" w:hAnsi="微软雅黑"/>
          <w:b/>
          <w:sz w:val="20"/>
        </w:rPr>
        <w:t>【Qwen3.5-27B】</w:t>
      </w:r>
      <w:r>
        <w:t xml:space="preserve">  耗时=29.105s, 首token=1.258s, tokens=488</w:t>
      </w:r>
    </w:p>
    <w:p>
      <w:r>
        <w:rPr>
          <w:rFonts w:ascii="微软雅黑" w:hAnsi="微软雅黑"/>
          <w:color w:val="333333"/>
          <w:sz w:val="18"/>
        </w:rPr>
        <w:t>这段文本主要介绍了中国联通在数字化转型方面的战略成果、技术底座建设、产品体系构建以及所获得的行业荣誉。</w:t>
        <w:br/>
        <w:br/>
        <w:t>**主要内容总结：**</w:t>
        <w:br/>
        <w:t>中国联通坚持“共平台、共能力、共技术栈、共研发体系”的集约化建设原则，历时 4 年打造了以“联通云”为核心的数字化技术底座，实现了全国 6 个数据中心、5.6 万节点的统一纳管与运营。通过构建“平台 + 应用”的互联网架构，联通不仅实现了研发、生产、运维的全流程数字化（如 52 亿 + 代码纳管、800+ 应用覆盖），还形成了包含 119 款产品、32 项服务和 31 项重点能力的“三清单”数字化产品体系。凭借卓越的转型成效，中国联通在多项国家级评估中排名央企第一，并荣获 Gartner、TM Forum 等国际权威机构的多项大奖，确立了其作为数字化转型领军企业的地位。</w:t>
        <w:br/>
        <w:br/>
        <w:t>**3 条核心要点：**</w:t>
        <w:br/>
        <w:br/>
        <w:t>1.  **构建集约化数字底座与统一技术栈**</w:t>
        <w:br/>
        <w:t xml:space="preserve">    通过“联通云”整合云计算、网络、存储及微服务，建立了覆盖全国 6 大中心、5.6 万节点的统一技术底座。实现了 52 亿 + 代码纳管、800+ 应用接入及 1.7 万个能力开放，形成了高可用、高安全的统一研发、监控与运营体系，总部研发纳管率达 100%。</w:t>
        <w:br/>
        <w:br/>
        <w:t>2.  **打造“三清单”数字化产品与服务体系**</w:t>
        <w:br/>
        <w:t xml:space="preserve">    基于软研院的实践经验，梳理形成了涵盖**119 款产品**（如智慧客服、研发平台）、**32 项服务**（如数据治理、上云方案）和**31 项能力**（如人脸识别、实名认证）的数字化“三清单”，构建了可对外输出、全生命周期运营的数字化产品体系。</w:t>
        <w:br/>
        <w:br/>
        <w:t>3.  **确立行业领军地位并获多项权威荣誉**</w:t>
        <w:br/>
        <w:t xml:space="preserve">    在数字化转型成效上表现卓越，连续在社科院、国资委及信通院的评估中荣获**央企第一**或满分评价。同时，在 Gartner、TM Forum 等国际舞台上斩获多项创新奖与卓越奖，并入选“中国数据管理十大名牌企业”，展现了强大的行业影响力。</w:t>
      </w:r>
    </w:p>
    <w:p>
      <w:pPr>
        <w:pStyle w:val="Heading2"/>
      </w:pPr>
      <w:r>
        <w:t>PPT转Markdown</w:t>
      </w:r>
    </w:p>
    <w:p>
      <w:r>
        <w:rPr>
          <w:rFonts w:ascii="微软雅黑" w:hAnsi="微软雅黑"/>
          <w:b/>
          <w:sz w:val="20"/>
        </w:rPr>
        <w:t>【Qwen2.5-72B】</w:t>
      </w:r>
      <w:r>
        <w:t xml:space="preserve">  耗时=85.948s, 首token=0.615s, tokens=1162</w:t>
      </w:r>
    </w:p>
    <w:p>
      <w:r>
        <w:rPr>
          <w:rFonts w:ascii="微软雅黑" w:hAnsi="微软雅黑"/>
          <w:color w:val="333333"/>
          <w:sz w:val="18"/>
        </w:rPr>
        <w:t># 中国联通数字化转型产品体系交流</w:t>
        <w:br/>
        <w:br/>
        <w:t>## 2025年2月</w:t>
        <w:br/>
        <w:br/>
        <w:t>### 坚持“共平台、共能力、共技术栈、共研发体系”</w:t>
        <w:br/>
        <w:br/>
        <w:t>- 在集约化系统建设中通过“平台 + 应用”的互联网架构</w:t>
        <w:br/>
        <w:t>- 历时4年打造了一套数字化技术底座，服务全集团的IT系统研发、生产和运维</w:t>
        <w:br/>
        <w:br/>
        <w:t>## 数字化底座全国集约</w:t>
        <w:br/>
        <w:br/>
        <w:t>### 联通云</w:t>
        <w:br/>
        <w:t>- **云计算** + **云网络** + **云存储** + **微服务** + **云组件**</w:t>
        <w:br/>
        <w:t>- 52亿+代码纳管</w:t>
        <w:br/>
        <w:t>- DevOps研发过程管理平台</w:t>
        <w:br/>
        <w:t>- 一体化软件研发交付管理体系</w:t>
        <w:br/>
        <w:t>- 800+应用</w:t>
        <w:br/>
        <w:t>- 2万+监控点覆盖、自动化生产、智慧化运营</w:t>
        <w:br/>
        <w:br/>
        <w:t>### 统一IT生产运营支撑平台</w:t>
        <w:br/>
        <w:t>- 数字化研发平台</w:t>
        <w:br/>
        <w:t>- 数字化监控平台</w:t>
        <w:br/>
        <w:br/>
        <w:t>### 高可用高安全高保障能力枢纽</w:t>
        <w:br/>
        <w:t>#### 数字化能力开放平台</w:t>
        <w:br/>
        <w:t>- 自研分布式CUDB、数据库治理平台CDAS、服务网格等组件，形成45个统一技术栈短名单</w:t>
        <w:br/>
        <w:br/>
        <w:t>#### 容器云平台部署全国6个数据中心：</w:t>
        <w:br/>
        <w:t>- 5.6万节点，70万容器，2021年输出数科纳入联通云体系</w:t>
        <w:br/>
        <w:t>- 8万人云上研发，总部100%研发纳管，省分79.3%纳管</w:t>
        <w:br/>
        <w:t>- 名单制系统可用率99.87%，问题AI智能化处理率40.41%</w:t>
        <w:br/>
        <w:br/>
        <w:t>## 数字化安全平台</w:t>
        <w:br/>
        <w:br/>
        <w:t>### 一体化安全管理与运营平台：</w:t>
        <w:br/>
        <w:t>- 全程全网一点监控、智能分析、统筹调度、高效处置</w:t>
        <w:br/>
        <w:br/>
        <w:t>## 数字化转型领军企业</w:t>
        <w:br/>
        <w:br/>
        <w:t>### 荣誉与奖项：</w:t>
        <w:br/>
        <w:br/>
        <w:t>#### 国内荣誉：</w:t>
        <w:br/>
        <w:t>1. **中国社会科学院“2023数字化转型领军企业排行榜”**：中国联通排名第一。</w:t>
        <w:br/>
        <w:t>2. **国资监管数智化专项行动验收中获得满分**：中国联通荣获央企第一。</w:t>
        <w:br/>
        <w:t>3. **信通院企业数字化转型综合评价中**：中国联通数字化转型成效综合评价指数第一。</w:t>
        <w:br/>
        <w:br/>
        <w:t>#### 国际奖项：</w:t>
        <w:br/>
        <w:t>1. “中国联通数字员工”项目在Gartner“2022年通信服务提供商创新奖”上荣获亚太区冠军；BSS云化转型项目获亚太区第四名。</w:t>
        <w:br/>
        <w:t>2. “AI驱动的无线网络随心测”项目荣获TM Forum 2022年度“AI与数据洞察”卓越奖。</w:t>
        <w:br/>
        <w:t>3. 参加GOLF+IT新治理领导力论坛，“中国联通数字转型团队荣获影响力团队称号”。</w:t>
        <w:br/>
        <w:br/>
        <w:t>#### 行业级奖项：</w:t>
        <w:br/>
        <w:t>1. 获得中国电子信息行业联合会授予的“中国数据管理十大名牌企业”称号。</w:t>
        <w:br/>
        <w:t xml:space="preserve">   - 国资委首届国企数字场景创新专业赛取得优异成绩：获得优秀组织奖，在本次参赛的国有企业中排名第三（一等奖5个,二等奖12个,三等奖20个）。</w:t>
        <w:br/>
        <w:br/>
        <w:t>#### TM Forum催化剂项目奖 ×1:</w:t>
        <w:br/>
        <w:t xml:space="preserve">   - GSMA亚洲最佳移动技术突破奖（国际级奖项）</w:t>
        <w:br/>
        <w:t xml:space="preserve">   - 网络安全技术应用试点示范项目（中央企业信息化应用典型案例 ×２）</w:t>
        <w:br/>
        <w:br/>
        <w:t>#### 中央企业级奖项：</w:t>
        <w:br/>
        <w:t xml:space="preserve">   - 中央企业的网络安全技术应用试点示范项目 ×２ </w:t>
        <w:br/>
        <w:t xml:space="preserve">   - 中央企业的信息化应用典型案例 ×２ </w:t>
        <w:br/>
        <w:br/>
        <w:t>#### 行业级奖项：</w:t>
        <w:br/>
        <w:t xml:space="preserve">   - 中国电子学会科学技术奖 </w:t>
        <w:br/>
        <w:t xml:space="preserve">   - 中国通信学会科学技术奖 </w:t>
        <w:br/>
        <w:t xml:space="preserve">   - 沟通协会明星团队 ×２ </w:t>
        <w:br/>
        <w:br/>
        <w:t>#### 集团级奖项：</w:t>
        <w:br/>
        <w:t xml:space="preserve">   - 管理创新奖 </w:t>
        <w:br/>
        <w:t xml:space="preserve">   - 科技进步奖 </w:t>
        <w:br/>
        <w:t xml:space="preserve">   - 技术标准奖 </w:t>
        <w:br/>
        <w:t xml:space="preserve">   - 吴文俊人工智能科技进步奖 </w:t>
        <w:br/>
        <w:br/>
        <w:t>##### IT行业年度优秀案例 ×２:</w:t>
        <w:br/>
        <w:br/>
        <w:t>##### 近期荣誉:</w:t>
        <w:br/>
        <w:t xml:space="preserve">    * 工信部央企数字化转型成熟度评估排名央企第一；</w:t>
        <w:br/>
        <w:t xml:space="preserve">    * 国资监管数智化专项行动验收中获得满分央企第一；</w:t>
        <w:br/>
        <w:t xml:space="preserve">    * “AI+大数据全面赋能客服智慧运营”荣获吴文俊人工智能科技进步奖；</w:t>
        <w:br/>
        <w:t xml:space="preserve">    * “超大规模湖仓一体大数据平台”荣获中国电子学会科学技术奖。</w:t>
        <w:br/>
        <w:br/>
        <w:t>## 主要...</w:t>
      </w:r>
    </w:p>
    <w:p>
      <w:r>
        <w:rPr>
          <w:rFonts w:ascii="微软雅黑" w:hAnsi="微软雅黑"/>
          <w:b/>
          <w:sz w:val="20"/>
        </w:rPr>
        <w:t>【Qwen3.5-27B】</w:t>
      </w:r>
      <w:r>
        <w:t xml:space="preserve">  耗时=74.972s, 首token=1.168s, tokens=1543</w:t>
      </w:r>
    </w:p>
    <w:p>
      <w:r>
        <w:rPr>
          <w:rFonts w:ascii="微软雅黑" w:hAnsi="微软雅黑"/>
          <w:color w:val="333333"/>
          <w:sz w:val="18"/>
        </w:rPr>
        <w:t># 2025 年 2 月 中国联通数字化转型产品体系交流</w:t>
        <w:br/>
        <w:br/>
        <w:t>## 3.5 数字化底座全国集约</w:t>
        <w:br/>
        <w:br/>
        <w:t>坚持“**共平台、共能力、共技术栈、共研发体系**”，在集约化系统建设中通过“**平台 + 应用**”的互联网架构，历时 4 年打造了一套数字化技术底座，服务全集团的 IT 系统研发、生产和运维。</w:t>
        <w:br/>
        <w:br/>
        <w:t>### 核心平台与能力</w:t>
        <w:br/>
        <w:br/>
        <w:t>*   **联通云**</w:t>
        <w:br/>
        <w:t xml:space="preserve">    *   架构：云计算 + 云网络 + 云存储 + 微服务 + 云组件</w:t>
        <w:br/>
        <w:t xml:space="preserve">    *   规模：容器云平台部署全国 **6 个** 数据中心、**5.6 万** 节点、**70 万** 容器</w:t>
        <w:br/>
        <w:t xml:space="preserve">    *   历程：2021 年输出数科纳入联通云体系</w:t>
        <w:br/>
        <w:t>*   **数字化研发平台**</w:t>
        <w:br/>
        <w:t xml:space="preserve">    *   规模：**52 亿+** 代码纳管</w:t>
        <w:br/>
        <w:t xml:space="preserve">    *   体系：DevOps 研发过程管理平台、一体化软件研发交付管理体系</w:t>
        <w:br/>
        <w:t xml:space="preserve">    *   覆盖：**8 万** 人云上研发，总部 **100%** 研发纳管，省分 **79.3%** 纳管</w:t>
        <w:br/>
        <w:t>*   **数字化监控平台**</w:t>
        <w:br/>
        <w:t xml:space="preserve">    *   规模：**2 万+** 监控点覆盖</w:t>
        <w:br/>
        <w:t xml:space="preserve">    *   能力：自动化生产、智慧化运营</w:t>
        <w:br/>
        <w:t xml:space="preserve">    *   成效：名单制系统可用率 **99.87%**，问题 AI 智能化处理率 **40.41%**</w:t>
        <w:br/>
        <w:t>*   **数字化能力开放平台**</w:t>
        <w:br/>
        <w:t xml:space="preserve">    *   定位：高可用、高安全、高保障能力枢纽</w:t>
        <w:br/>
        <w:t xml:space="preserve">    *   规模：**1.7 万** 个能力纳管，日调用峰值 **30 亿**</w:t>
        <w:br/>
        <w:t>*   **数字化安全平台**</w:t>
        <w:br/>
        <w:t xml:space="preserve">    *   定位：一体化安全管理与运营平台</w:t>
        <w:br/>
        <w:t xml:space="preserve">    *   能力：全程全网一点监控、智能分析、统筹调度、高效处置</w:t>
        <w:br/>
        <w:t>*   **统一 IT 生产运营支撑平台**</w:t>
        <w:br/>
        <w:t xml:space="preserve">    *   组件：自研分布式 CUDB、数据库治理平台 CDAS、服务网格等</w:t>
        <w:br/>
        <w:t xml:space="preserve">    *   成果：形成 **45** 个统一技术栈短名单</w:t>
        <w:br/>
        <w:br/>
        <w:t>---</w:t>
        <w:br/>
        <w:br/>
        <w:t>## 数字化转型领军企业</w:t>
        <w:br/>
        <w:br/>
        <w:t>### 权威排名与评价</w:t>
        <w:br/>
        <w:t>*   **中国社会科学院**："2023 数字化转型领军企业排行榜”，**中国联通排名第一**。</w:t>
        <w:br/>
        <w:t>*   **国资监管**：数智化专项行动验收中获得**满分**，荣获**央企第一**。</w:t>
        <w:br/>
        <w:t>*   **信通院**：企业数字化转型综合评价中，数字化转型成效综合评价指数**第一**。</w:t>
        <w:br/>
        <w:t>*   **工信部**：2023 年央企数字化转型成熟度评估排名**央企第一**。</w:t>
        <w:br/>
        <w:br/>
        <w:t>### 国际级奖项</w:t>
        <w:br/>
        <w:t>*   **Gartner**：“中国联通数字员工”项目在"2022 年通信服务提供商创新奖”上荣获**亚太区冠军**；BSS 云化转型项目获**亚太区第四名**。</w:t>
        <w:br/>
        <w:t>*   **TM Forum**：</w:t>
        <w:br/>
        <w:t xml:space="preserve">    *   "AI 驱动的无线网络随心测”项目荣获 2022 年度"AI 与数据洞察”**卓越奖**。</w:t>
        <w:br/>
        <w:t xml:space="preserve">    *   参加 2022 GOLF+IT 新治理领导力论坛，数字化转型团队荣获**影响力团队**称号。</w:t>
        <w:br/>
        <w:t xml:space="preserve">    *   荣获 **12** 项催化剂项目奖。</w:t>
        <w:br/>
        <w:t>*   **GSMA**：荣获 **1** 项亚洲最佳移动技术突破奖。</w:t>
        <w:br/>
        <w:br/>
        <w:t>### 中央企业级奖项</w:t>
        <w:br/>
        <w:t>*   **国资委**：首届国企数字场景创新专业赛取得优异成绩。</w:t>
        <w:br/>
        <w:t xml:space="preserve">    *   在参赛的 2007 家国有企业中**排名第三**。</w:t>
        <w:br/>
        <w:t xml:space="preserve">    *   荣获**优秀组织奖**。</w:t>
        <w:br/>
        <w:t xml:space="preserve">    *   获奖情况：一等奖 **5** 个，二等奖 **12** 个，三等奖 **20** 个。</w:t>
        <w:br/>
        <w:t>*   **其他央企奖项**：</w:t>
        <w:br/>
        <w:t xml:space="preserve">    *   网络安全技术应...</w:t>
      </w:r>
    </w:p>
    <w:p>
      <w:pPr>
        <w:pStyle w:val="Heading2"/>
      </w:pPr>
      <w:r>
        <w:t>意图提取</w:t>
      </w:r>
    </w:p>
    <w:p>
      <w:r>
        <w:rPr>
          <w:rFonts w:ascii="微软雅黑" w:hAnsi="微软雅黑"/>
          <w:b/>
          <w:sz w:val="20"/>
        </w:rPr>
        <w:t>【Qwen2.5-72B】</w:t>
      </w:r>
      <w:r>
        <w:t xml:space="preserve">  耗时=0.661s, 首token=0.337s, tokens=8</w:t>
      </w:r>
    </w:p>
    <w:p>
      <w:r>
        <w:rPr>
          <w:rFonts w:ascii="微软雅黑" w:hAnsi="微软雅黑"/>
          <w:color w:val="333333"/>
          <w:sz w:val="18"/>
        </w:rPr>
        <w:t>报修宽带断连方法。</w:t>
      </w:r>
    </w:p>
    <w:p>
      <w:r>
        <w:rPr>
          <w:rFonts w:ascii="微软雅黑" w:hAnsi="微软雅黑"/>
          <w:b/>
          <w:sz w:val="20"/>
        </w:rPr>
        <w:t>【Qwen3.5-27B】</w:t>
      </w:r>
      <w:r>
        <w:t xml:space="preserve">  耗时=1.449s, 首token=1.118s, tokens=6</w:t>
      </w:r>
    </w:p>
    <w:p>
      <w:r>
        <w:rPr>
          <w:rFonts w:ascii="微软雅黑" w:hAnsi="微软雅黑"/>
          <w:color w:val="333333"/>
          <w:sz w:val="18"/>
        </w:rPr>
        <w:t>查询宽带报修方法</w:t>
      </w:r>
    </w:p>
    <w:p>
      <w:pPr>
        <w:pStyle w:val="Heading2"/>
      </w:pPr>
      <w:r>
        <w:t>实体提取</w:t>
      </w:r>
    </w:p>
    <w:p>
      <w:r>
        <w:rPr>
          <w:rFonts w:ascii="微软雅黑" w:hAnsi="微软雅黑"/>
          <w:b/>
          <w:sz w:val="20"/>
        </w:rPr>
        <w:t>【Qwen2.5-72B】</w:t>
      </w:r>
      <w:r>
        <w:t xml:space="preserve">  耗时=3.479s, 首token=0.351s, tokens=50</w:t>
      </w:r>
    </w:p>
    <w:p>
      <w:r>
        <w:rPr>
          <w:rFonts w:ascii="微软雅黑" w:hAnsi="微软雅黑"/>
          <w:color w:val="333333"/>
          <w:sz w:val="18"/>
        </w:rPr>
        <w:t>10086@13800138000@ORD20260401001@110101199001011234</w:t>
      </w:r>
    </w:p>
    <w:p>
      <w:r>
        <w:rPr>
          <w:rFonts w:ascii="微软雅黑" w:hAnsi="微软雅黑"/>
          <w:b/>
          <w:sz w:val="20"/>
        </w:rPr>
        <w:t>【Qwen3.5-27B】</w:t>
      </w:r>
      <w:r>
        <w:t xml:space="preserve">  耗时=3.274s, 首token=1.134s, tokens=50</w:t>
      </w:r>
    </w:p>
    <w:p>
      <w:r>
        <w:rPr>
          <w:rFonts w:ascii="微软雅黑" w:hAnsi="微软雅黑"/>
          <w:color w:val="333333"/>
          <w:sz w:val="18"/>
        </w:rPr>
        <w:t>10086@13800138000@ORD20260401001@110101199001011234</w:t>
      </w:r>
    </w:p>
    <w:p>
      <w:pPr>
        <w:pStyle w:val="Heading2"/>
      </w:pPr>
      <w:r>
        <w:t>文档QA生成</w:t>
      </w:r>
    </w:p>
    <w:p>
      <w:r>
        <w:rPr>
          <w:rFonts w:ascii="微软雅黑" w:hAnsi="微软雅黑"/>
          <w:b/>
          <w:sz w:val="20"/>
        </w:rPr>
        <w:t>【Qwen2.5-72B】</w:t>
      </w:r>
      <w:r>
        <w:t xml:space="preserve">  耗时=19.175s, 首token=0.433s, tokens=215</w:t>
      </w:r>
    </w:p>
    <w:p>
      <w:r>
        <w:rPr>
          <w:rFonts w:ascii="微软雅黑" w:hAnsi="微软雅黑"/>
          <w:color w:val="333333"/>
          <w:sz w:val="18"/>
        </w:rPr>
        <w:t>|A|中国联通为何要修订《互联网专线业务管理规定》？|A|为进一步规范互联网专线业务管理，促进业务健康发展，中国联通修订了《互联网专线业务管理规定》。|B||A|本次修订的《互联网专线业务管理规定》主要涉及哪些方面的内容？|A|主要涉及五个方面：1. 修订完善互联网专线业务定义与分类；2. 修订补充集团公司、省级分公司相关部门管理职责；3. 根据业务发展需要修订业务审批管理和业务开通及测试管理规定；4. 新增客户资质审核、IP地址域名解析服务端口等管理要求；5. 修订各级分公司违规行为定义。|B||A|如果在执行新规定过程中遇到问题，应如何反馈给中国联通集团？|A|各单位在执行新规定过程中如遇问题，应及时向集团公司反馈。联系人为赵丽萍，联系电话为18601102027，电子邮箱为zhaolp@chinaunicom.cn。</w:t>
      </w:r>
    </w:p>
    <w:p>
      <w:r>
        <w:rPr>
          <w:rFonts w:ascii="微软雅黑" w:hAnsi="微软雅黑"/>
          <w:b/>
          <w:sz w:val="20"/>
        </w:rPr>
        <w:t>【Qwen3.5-27B】</w:t>
      </w:r>
      <w:r>
        <w:t xml:space="preserve">  耗时=10.991s, 首token=1.072s, tokens=180</w:t>
      </w:r>
    </w:p>
    <w:p>
      <w:r>
        <w:rPr>
          <w:rFonts w:ascii="微软雅黑" w:hAnsi="微软雅黑"/>
          <w:color w:val="333333"/>
          <w:sz w:val="18"/>
        </w:rPr>
        <w:t>中国联通集团印发《互联网专线业务管理规定》的主要目的是什么？|A|主要目的是为进一步规范互联网专线业务管理，促进业务健康发展。|B|本次《中国联通互联网专线业务管理规定》修订涉及哪些核心内容？|A|本次修订主要涉及五个方面：一是修订完善互联网专线业务定义与分类；二是修订补充集团公司及省级分公司相关部门的管理职责；三是根据业务发展需要修订业务审批管理、业务开通及测试管理规定；四是根据主管部门要求新增客户资质审核、IP 地址域名解析服务端口等管理要求；五是修订各级分公司违规行为定义。|B|各分公司在执行新规定过程中遇到问题应如何反馈？|A|各单位在执行过程中如有问题，应及时向集团公司反馈，具体联系人为赵丽萍，联系电话为 18601102027，邮箱为 zhaolp@chinaunicom.cn。</w:t>
      </w:r>
    </w:p>
    <w:p>
      <w:pPr>
        <w:pStyle w:val="Heading2"/>
      </w:pPr>
      <w:r>
        <w:t>核心会话提取</w:t>
      </w:r>
    </w:p>
    <w:p>
      <w:r>
        <w:rPr>
          <w:rFonts w:ascii="微软雅黑" w:hAnsi="微软雅黑"/>
          <w:b/>
          <w:sz w:val="20"/>
        </w:rPr>
        <w:t>【Qwen2.5-72B】</w:t>
      </w:r>
      <w:r>
        <w:t xml:space="preserve">  耗时=3.058s, 首token=0.296s, tokens=49</w:t>
      </w:r>
    </w:p>
    <w:p>
      <w:r>
        <w:rPr>
          <w:rFonts w:ascii="微软雅黑" w:hAnsi="微软雅黑"/>
          <w:color w:val="333333"/>
          <w:sz w:val="18"/>
        </w:rPr>
        <w:t>用户：我想问一下我的套餐什么时候到期</w:t>
        <w:br/>
        <w:t>客服：请您提供一下手机号码</w:t>
        <w:br/>
        <w:t>用户：13912345678</w:t>
        <w:br/>
        <w:t>客服：您的套餐将于2026年5月31日到期</w:t>
      </w:r>
    </w:p>
    <w:p>
      <w:r>
        <w:rPr>
          <w:rFonts w:ascii="微软雅黑" w:hAnsi="微软雅黑"/>
          <w:b/>
          <w:sz w:val="20"/>
        </w:rPr>
        <w:t>【Qwen3.5-27B】</w:t>
      </w:r>
      <w:r>
        <w:t xml:space="preserve">  耗时=3.494s, 首token=1.1s, tokens=53</w:t>
      </w:r>
    </w:p>
    <w:p>
      <w:r>
        <w:rPr>
          <w:rFonts w:ascii="微软雅黑" w:hAnsi="微软雅黑"/>
          <w:color w:val="333333"/>
          <w:sz w:val="18"/>
        </w:rPr>
        <w:t>用户：我想问一下我的套餐什么时候到期</w:t>
        <w:br/>
        <w:t>客服：请您提供一下手机号码</w:t>
        <w:br/>
        <w:t>用户：13912345678</w:t>
        <w:br/>
        <w:t>客服：您的套餐将于 2026 年 5 月 31 日到期</w:t>
      </w:r>
    </w:p>
    <w:p>
      <w:pPr>
        <w:pStyle w:val="Heading2"/>
      </w:pPr>
      <w:r>
        <w:t>负样本生成</w:t>
      </w:r>
    </w:p>
    <w:p>
      <w:r>
        <w:rPr>
          <w:rFonts w:ascii="微软雅黑" w:hAnsi="微软雅黑"/>
          <w:b/>
          <w:sz w:val="20"/>
        </w:rPr>
        <w:t>【Qwen2.5-72B】</w:t>
      </w:r>
      <w:r>
        <w:t xml:space="preserve">  耗时=1.084s, 首token=0.33s, tokens=15</w:t>
      </w:r>
    </w:p>
    <w:p>
      <w:r>
        <w:rPr>
          <w:rFonts w:ascii="微软雅黑" w:hAnsi="微软雅黑"/>
          <w:color w:val="333333"/>
          <w:sz w:val="18"/>
        </w:rPr>
        <w:t>如何查我的话费？不清楚该怎么做，能告诉我吗？</w:t>
      </w:r>
    </w:p>
    <w:p>
      <w:r>
        <w:rPr>
          <w:rFonts w:ascii="微软雅黑" w:hAnsi="微软雅黑"/>
          <w:b/>
          <w:sz w:val="20"/>
        </w:rPr>
        <w:t>【Qwen3.5-27B】</w:t>
      </w:r>
      <w:r>
        <w:t xml:space="preserve">  耗时=10.291s, 首token=1.121s, tokens=55</w:t>
      </w:r>
    </w:p>
    <w:p>
      <w:r>
        <w:rPr>
          <w:rFonts w:ascii="微软雅黑" w:hAnsi="微软雅黑"/>
          <w:color w:val="333333"/>
          <w:sz w:val="18"/>
        </w:rPr>
        <w:t>话费查？那个...余额...怎么弄？手机...不对，是卡...反正就是钱还有多少，快点告诉我，别整那些复杂的步骤，直接给个数字就行，或者...或者是不是要按什么键？忘了，反正就是查钱。</w:t>
      </w:r>
    </w:p>
    <w:p>
      <w:pPr>
        <w:pStyle w:val="Heading2"/>
      </w:pPr>
      <w:r>
        <w:t>视觉识别</w:t>
      </w:r>
    </w:p>
    <w:p>
      <w:r>
        <w:rPr>
          <w:rFonts w:ascii="微软雅黑" w:hAnsi="微软雅黑"/>
          <w:b/>
          <w:sz w:val="20"/>
        </w:rPr>
        <w:t>【Qwen2.5-VL-32B】</w:t>
      </w:r>
      <w:r>
        <w:t xml:space="preserve">  耗时=41.454s, 首token=-s, tokens=1302</w:t>
      </w:r>
    </w:p>
    <w:p>
      <w:r>
        <w:rPr>
          <w:rFonts w:ascii="微软雅黑" w:hAnsi="微软雅黑"/>
          <w:color w:val="333333"/>
          <w:sz w:val="18"/>
        </w:rPr>
        <w:t>### 截图主要内容分析</w:t>
        <w:br/>
        <w:br/>
        <w:t>#### 1. **界面类型**</w:t>
        <w:br/>
        <w:t xml:space="preserve">   - 这是一个数据库管理工具的界面，具体为一个 SQL 编辑器窗口。界面中显示了 SQL 查询语句的编写区域和执行结果区域。</w:t>
        <w:br/>
        <w:t xml:space="preserve">   - 左侧有数据库导航栏，显示了数据库连接信息和表结构。</w:t>
        <w:br/>
        <w:t xml:space="preserve">   - 右侧是 SQL 编辑区，用户可以编写和执行 SQL 查询语句。</w:t>
        <w:br/>
        <w:t xml:space="preserve">   - 底部是查询结果区域，显示了执行查询后的数据表。</w:t>
        <w:br/>
        <w:br/>
        <w:t>#### 2. **SQL 查询语句**</w:t>
        <w:br/>
        <w:t xml:space="preserve">   - 界面中显示了多条 SQL 查询语句，主要涉及对表 `BONC_USER_DM_BI_USER_INFO_D_T756` 的查询操作。以下是每条查询的分析：</w:t>
        <w:br/>
        <w:br/>
        <w:t xml:space="preserve">   **第一条查询：**</w:t>
        <w:br/>
        <w:t xml:space="preserve">   ```sql</w:t>
        <w:br/>
        <w:t xml:space="preserve">   select * from BONC_USER_DM_BI_USER_INFO_D_T756</w:t>
        <w:br/>
        <w:t xml:space="preserve">   where SERVICE_ID = '15679517807'</w:t>
        <w:br/>
        <w:t xml:space="preserve">   and ACCT_DAY = '20251225'</w:t>
        <w:br/>
        <w:t xml:space="preserve">   ```</w:t>
        <w:br/>
        <w:t xml:space="preserve">   - **目的**：查询表中 `SERVICE_ID` 为 `'15679517807'` 且 `ACCT_DAY` 为 `'20251225'` 的所有记录。</w:t>
        <w:br/>
        <w:t xml:space="preserve">   - **字段**：未指定字段，使用 `*` 表示查询所有字段。</w:t>
        <w:br/>
        <w:br/>
        <w:t xml:space="preserve">   **第二条查询：**</w:t>
        <w:br/>
        <w:t xml:space="preserve">   ```sql</w:t>
        <w:br/>
        <w:t xml:space="preserve">   select age from BONC_USER_DM_BI_USER_INFO_D_T756</w:t>
        <w:br/>
        <w:t xml:space="preserve">   where SERVICE_ID = '15579452568'</w:t>
        <w:br/>
        <w:t xml:space="preserve">   and ACCT_DAY = '20251017'</w:t>
        <w:br/>
        <w:t xml:space="preserve">   ```</w:t>
        <w:br/>
        <w:t xml:space="preserve">   - **目的**：查询表中 `SERVICE_ID` 为 `'15579452568'` 且 `ACCT_DAY` 为 `'20251017'` 的 `age` 字段。</w:t>
        <w:br/>
        <w:t xml:space="preserve">   - **字段**：仅查询 `age` 字段。</w:t>
        <w:br/>
        <w:br/>
        <w:t xml:space="preserve">   **第三条查询：**</w:t>
        <w:br/>
        <w:t xml:space="preserve">   ```sql</w:t>
        <w:br/>
        <w:t xml:space="preserve">   select SERVICE_ID, REMOVE_FLAG from BONC_USER_DM_BI_USER_INFO_D_T756</w:t>
        <w:br/>
        <w:t xml:space="preserve">   where CUST_IDENTITY_CODE = '360521198712054849'</w:t>
        <w:br/>
        <w:t xml:space="preserve">   and ACCT_DAY = '20251225'</w:t>
        <w:br/>
        <w:t xml:space="preserve">   ```</w:t>
        <w:br/>
        <w:t xml:space="preserve">   - **目的**：查询表中 `CUST_IDENTITY_CODE` 为 `'360521198712054849'` 且 `ACCT_DAY` 为 `'20251225'` 的 `SERVICE_ID` 和 `REMOVE_FLAG` 字段。</w:t>
        <w:br/>
        <w:t xml:space="preserve">   - **字段**：查询 `SERVICE_ID` 和 `REMOVE_FLAG` 字段。</w:t>
        <w:br/>
        <w:br/>
        <w:t xml:space="preserve">   **第四条查询：**</w:t>
        <w:br/>
        <w:t xml:space="preserve">   ```sql</w:t>
        <w:br/>
        <w:t xml:space="preserve">   select * from BONC_USER_DM_BI_USER_INFO_D_T756</w:t>
        <w:br/>
        <w:t xml:space="preserve">   where CUST_NAME = '高安三石网络科技有限公司'</w:t>
        <w:br/>
        <w:t xml:space="preserve">   ```</w:t>
        <w:br/>
        <w:t xml:space="preserve">   - **目的**：查询表中 `CUST_NAME` 为 `'高安三石网络科技有限公司'` 的所有记录。</w:t>
        <w:br/>
        <w:t xml:space="preserve">   - **字段**：未指定字段，使用 `*` 表示查询所有字段。</w:t>
        <w:br/>
        <w:br/>
        <w:t>#### 3. **查询结果**</w:t>
        <w:br/>
        <w:t xml:space="preserve">   - 在底部的查询结果区域，显示了第三条查询的执行结果：</w:t>
        <w:br/>
        <w:t xml:space="preserve">     - **字段**：`SERVICE_ID` 和 `REMOVE_FLAG`。</w:t>
        <w:br/>
        <w:t xml:space="preserve">     - **数据**：</w:t>
        <w:br/>
        <w:t>...</w:t>
      </w:r>
    </w:p>
    <w:p>
      <w:pPr>
        <w:pStyle w:val="Heading1"/>
      </w:pPr>
      <w:r>
        <w:t>五、结论与建议</w:t>
      </w:r>
    </w:p>
    <w:p>
      <w:r>
        <w:t>共测试 11 个文本场景：优于原模型 2 个，相当 6 个，弱于原模型 3 个。</w:t>
      </w:r>
    </w:p>
    <w:p>
      <w:r>
        <w:t>1. Qwen3.5-27B 关闭思考模式后输出正常，不再出现空输出问题。</w:t>
      </w:r>
    </w:p>
    <w:p>
      <w:r>
        <w:t>2. 在文本理解、摘要、实体提取等场景下，Qwen3.5-27B 输出质量与 Qwen2.5-72B 基本持平，部分场景（如负样本生成）输出更丰富。</w:t>
      </w:r>
    </w:p>
    <w:p>
      <w:r>
        <w:t>3. 响应速度方面，Qwen3.5-27B 在简单任务上略慢，在长文本生成任务上与 Qwen2.5-72B 接近。</w:t>
      </w:r>
    </w:p>
    <w:p>
      <w:r>
        <w:t>4. 视觉能力方面，当前仅 Qwen2.5-VL-32B 可用，暂无 Qwen3.5 VL 模型可对比。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