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6a57d22c5b2dde4f727c2d128bdd26e56b11e2"/>
      <w:r>
        <w:t xml:space="preserve">ATTORNEY HANDOFF BRIEF — 801, LLC v. DK Group et al.</w:t>
      </w:r>
      <w:bookmarkEnd w:id="20"/>
    </w:p>
    <w:p>
      <w:pPr>
        <w:pStyle w:val="FirstParagraph"/>
      </w:pPr>
      <w:r>
        <w:rPr>
          <w:b/>
        </w:rPr>
        <w:t xml:space="preserve">To:</w:t>
      </w:r>
      <w:r>
        <w:t xml:space="preserve"> </w:t>
      </w:r>
      <w:r>
        <w:t xml:space="preserve">[SLC Counsel for 801, LLC]</w:t>
      </w:r>
      <w:r>
        <w:t xml:space="preserve"> </w:t>
      </w:r>
      <w:r>
        <w:rPr>
          <w:b/>
        </w:rPr>
        <w:t xml:space="preserve">From:</w:t>
      </w:r>
      <w:r>
        <w:t xml:space="preserve"> </w:t>
      </w:r>
      <w:r>
        <w:t xml:space="preserve">Andrew Peterson, 801, LLC</w:t>
      </w:r>
      <w:r>
        <w:t xml:space="preserve"> </w:t>
      </w:r>
      <w:r>
        <w:rPr>
          <w:b/>
        </w:rPr>
        <w:t xml:space="preserve">Date:</w:t>
      </w:r>
      <w:r>
        <w:t xml:space="preserve"> </w:t>
      </w:r>
      <w:r>
        <w:t xml:space="preserve">May 5, 2026</w:t>
      </w:r>
      <w:r>
        <w:t xml:space="preserve"> </w:t>
      </w:r>
      <w:r>
        <w:rPr>
          <w:b/>
        </w:rPr>
        <w:t xml:space="preserve">Re:</w:t>
      </w:r>
      <w:r>
        <w:t xml:space="preserve"> </w:t>
      </w:r>
      <w:r>
        <w:t xml:space="preserve">Container SMCU1049407 — customs fraud, demurrage extortion, recovery of goods</w:t>
      </w:r>
      <w:r>
        <w:t xml:space="preserve"> </w:t>
      </w:r>
      <w:r>
        <w:rPr>
          <w:b/>
        </w:rPr>
        <w:t xml:space="preserve">Attached:</w:t>
      </w:r>
      <w:r>
        <w:t xml:space="preserve"> </w:t>
      </w:r>
      <w:r>
        <w:t xml:space="preserve">CASE_FILE_SMCU1049407.md (full factual record + evidence index)</w:t>
      </w:r>
    </w:p>
    <w:p>
      <w:r>
        <w:pict>
          <v:rect style="width:0;height:1.5pt" o:hralign="center" o:hrstd="t" o:hr="t"/>
        </w:pict>
      </w:r>
    </w:p>
    <w:p>
      <w:pPr>
        <w:pStyle w:val="Heading2"/>
      </w:pPr>
      <w:bookmarkStart w:id="21" w:name="the-60-second-version"/>
      <w:r>
        <w:t xml:space="preserve">1. THE 60-SECOND VERSION</w:t>
      </w:r>
      <w:bookmarkEnd w:id="21"/>
    </w:p>
    <w:p>
      <w:pPr>
        <w:pStyle w:val="FirstParagraph"/>
      </w:pPr>
      <w:r>
        <w:t xml:space="preserve">801, LLC purchased sleeping bags from a Chinese factory on</w:t>
      </w:r>
      <w:r>
        <w:t xml:space="preserve"> </w:t>
      </w:r>
      <w:r>
        <w:rPr>
          <w:b/>
        </w:rPr>
        <w:t xml:space="preserve">DDP terms</w:t>
      </w:r>
      <w:r>
        <w:t xml:space="preserve"> </w:t>
      </w:r>
      <w:r>
        <w:t xml:space="preserve">for delivery to my customer Worldwide Distributors in</w:t>
      </w:r>
      <w:r>
        <w:t xml:space="preserve"> </w:t>
      </w:r>
      <w:r>
        <w:rPr>
          <w:b/>
        </w:rPr>
        <w:t xml:space="preserve">Kent, WA</w:t>
      </w:r>
      <w:r>
        <w:t xml:space="preserve">. All-in DDP shipping was paid up front via wire on March 11, 2026 —</w:t>
      </w:r>
      <w:r>
        <w:t xml:space="preserve"> </w:t>
      </w:r>
      <w:r>
        <w:rPr>
          <w:b/>
        </w:rPr>
        <w:t xml:space="preserve">$6,474.61</w:t>
      </w:r>
      <w:r>
        <w:t xml:space="preserve"> </w:t>
      </w:r>
      <w:r>
        <w:t xml:space="preserve">to Dahlen Foward Shipping Supply Chain (Shanghai) Co., Ltd.</w:t>
      </w:r>
    </w:p>
    <w:p>
      <w:pPr>
        <w:pStyle w:val="BodyText"/>
      </w:pPr>
      <w:r>
        <w:t xml:space="preserve">The shipment was filed into US Customs</w:t>
      </w:r>
      <w:r>
        <w:t xml:space="preserve"> </w:t>
      </w:r>
      <w:r>
        <w:rPr>
          <w:b/>
        </w:rPr>
        <w:t xml:space="preserve">without a valid POA from 801</w:t>
      </w:r>
      <w:r>
        <w:t xml:space="preserve"> </w:t>
      </w:r>
      <w:r>
        <w:t xml:space="preserve">and with the</w:t>
      </w:r>
      <w:r>
        <w:t xml:space="preserve"> </w:t>
      </w:r>
      <w:r>
        <w:rPr>
          <w:b/>
        </w:rPr>
        <w:t xml:space="preserve">wrong consignee</w:t>
      </w:r>
      <w:r>
        <w:t xml:space="preserve"> </w:t>
      </w:r>
      <w:r>
        <w:t xml:space="preserve">(Great Way Trading &amp; Transportation) and the</w:t>
      </w:r>
      <w:r>
        <w:t xml:space="preserve"> </w:t>
      </w:r>
      <w:r>
        <w:rPr>
          <w:b/>
        </w:rPr>
        <w:t xml:space="preserve">wrong commodity classification</w:t>
      </w:r>
      <w:r>
        <w:t xml:space="preserve"> </w:t>
      </w:r>
      <w:r>
        <w:t xml:space="preserve">(</w:t>
      </w:r>
      <w:r>
        <w:t xml:space="preserve">“</w:t>
      </w:r>
      <w:r>
        <w:t xml:space="preserve">fishing line</w:t>
      </w:r>
      <w:r>
        <w:t xml:space="preserve">”</w:t>
      </w:r>
      <w:r>
        <w:t xml:space="preserve"> </w:t>
      </w:r>
      <w:r>
        <w:t xml:space="preserve">instead of sleeping bags). CBP placed an enforcement hold. The container then sat at SSA Marine Terminal 18 in Seattle from</w:t>
      </w:r>
      <w:r>
        <w:t xml:space="preserve"> </w:t>
      </w:r>
      <w:r>
        <w:rPr>
          <w:b/>
        </w:rPr>
        <w:t xml:space="preserve">3/16/26 to 4/21/26</w:t>
      </w:r>
      <w:r>
        <w:t xml:space="preserve"> </w:t>
      </w:r>
      <w:r>
        <w:t xml:space="preserve">while a chain of US-side parties (DK Group entities + Great Way / OEC Group + ICCB customs broker) scrambled to get a valid POA from me — which they finally received on</w:t>
      </w:r>
      <w:r>
        <w:t xml:space="preserve"> </w:t>
      </w:r>
      <w:r>
        <w:rPr>
          <w:b/>
        </w:rPr>
        <w:t xml:space="preserve">3/29/26</w:t>
      </w:r>
      <w:r>
        <w:t xml:space="preserve">. CBP cleared the container on</w:t>
      </w:r>
      <w:r>
        <w:t xml:space="preserve"> </w:t>
      </w:r>
      <w:r>
        <w:rPr>
          <w:b/>
        </w:rPr>
        <w:t xml:space="preserve">4/7/26</w:t>
      </w:r>
      <w:r>
        <w:t xml:space="preserve">, eight business days later.</w:t>
      </w:r>
    </w:p>
    <w:p>
      <w:pPr>
        <w:pStyle w:val="BodyText"/>
      </w:pPr>
      <w:r>
        <w:rPr>
          <w:b/>
        </w:rPr>
        <w:t xml:space="preserve">DK Group then paid SSA $14,617.02 in demurrage on 4/21/26 (their own receipt)</w:t>
      </w:r>
      <w:r>
        <w:t xml:space="preserve"> </w:t>
      </w:r>
      <w:r>
        <w:t xml:space="preserve">and turned around and</w:t>
      </w:r>
      <w:r>
        <w:t xml:space="preserve"> </w:t>
      </w:r>
      <w:r>
        <w:rPr>
          <w:b/>
        </w:rPr>
        <w:t xml:space="preserve">invoiced me ~$34,000</w:t>
      </w:r>
      <w:r>
        <w:t xml:space="preserve"> </w:t>
      </w:r>
      <w:r>
        <w:t xml:space="preserve">to release the goods. SSA Marine has confirmed in writing that the container</w:t>
      </w:r>
      <w:r>
        <w:t xml:space="preserve"> </w:t>
      </w:r>
      <w:r>
        <w:rPr>
          <w:b/>
        </w:rPr>
        <w:t xml:space="preserve">never left the terminal for inspection</w:t>
      </w:r>
      <w:r>
        <w:t xml:space="preserve"> </w:t>
      </w:r>
      <w:r>
        <w:t xml:space="preserve">despite DK’s repeated representations that it was under</w:t>
      </w:r>
      <w:r>
        <w:t xml:space="preserve"> </w:t>
      </w:r>
      <w:r>
        <w:t xml:space="preserve">“</w:t>
      </w:r>
      <w:r>
        <w:t xml:space="preserve">intensive inspection.</w:t>
      </w:r>
      <w:r>
        <w:t xml:space="preserve">”</w:t>
      </w:r>
    </w:p>
    <w:p>
      <w:pPr>
        <w:pStyle w:val="BodyText"/>
      </w:pPr>
      <w:r>
        <w:rPr>
          <w:b/>
        </w:rPr>
        <w:t xml:space="preserve">The container is currently being held by Portland Container</w:t>
      </w:r>
      <w:r>
        <w:t xml:space="preserve"> </w:t>
      </w:r>
      <w:r>
        <w:t xml:space="preserve">(drayage, friendly bailee). CBP Seattle (CBPO Butler) opened an active information request on 4/29/26.</w:t>
      </w:r>
    </w:p>
    <w:p>
      <w:pPr>
        <w:pStyle w:val="BodyText"/>
      </w:pPr>
      <w:r>
        <w:t xml:space="preserve">I refuse to pay the inflated invoice. I want my goods released to me and I want these parties on the record for what they did, ideally in a way that protects other importers from being run through the same scheme.</w:t>
      </w:r>
    </w:p>
    <w:p>
      <w:r>
        <w:pict>
          <v:rect style="width:0;height:1.5pt" o:hralign="center" o:hrstd="t" o:hr="t"/>
        </w:pict>
      </w:r>
    </w:p>
    <w:p>
      <w:pPr>
        <w:pStyle w:val="Heading2"/>
      </w:pPr>
      <w:bookmarkStart w:id="22" w:name="recommended-immediate-actions-this-week"/>
      <w:r>
        <w:t xml:space="preserve">2. RECOMMENDED IMMEDIATE ACTIONS (this week)</w:t>
      </w:r>
      <w:bookmarkEnd w:id="22"/>
    </w:p>
    <w:p>
      <w:pPr>
        <w:pStyle w:val="FirstParagraph"/>
      </w:pPr>
      <w:r>
        <w:t xml:space="preserve">In rough priority order. All but #5 should be on attorney letterhead.</w:t>
      </w:r>
    </w:p>
    <w:p>
      <w:pPr>
        <w:numPr>
          <w:ilvl w:val="0"/>
          <w:numId w:val="1001"/>
        </w:numPr>
      </w:pPr>
      <w:r>
        <w:rPr>
          <w:b/>
        </w:rPr>
        <w:t xml:space="preserve">Preservation / do-not-release letter to Portland Container (Alison)</w:t>
      </w:r>
      <w:r>
        <w:t xml:space="preserve"> </w:t>
      </w:r>
      <w:r>
        <w:t xml:space="preserve">— instruct them to hold the container pending court order or written direction from me. They are already disinclined to release to DK; this gives them legal cover to formalize the hold. Do not name them as adverse — they are a friendly bailee.</w:t>
      </w:r>
    </w:p>
    <w:p>
      <w:pPr>
        <w:numPr>
          <w:ilvl w:val="0"/>
          <w:numId w:val="1001"/>
        </w:numPr>
      </w:pPr>
      <w:r>
        <w:rPr>
          <w:b/>
        </w:rPr>
        <w:t xml:space="preserve">Litigation hold letters to all named parties</w:t>
      </w:r>
      <w:r>
        <w:t xml:space="preserve"> </w:t>
      </w:r>
      <w:r>
        <w:t xml:space="preserve">(DK entities, Great Way, OEC Group, Dahlen Foward, ICCB) — preserve emails, WeChat/WhatsApp logs, internal cost spreadsheets, the original POA they used to file, and the original commercial documents from China.</w:t>
      </w:r>
    </w:p>
    <w:p>
      <w:pPr>
        <w:numPr>
          <w:ilvl w:val="0"/>
          <w:numId w:val="1001"/>
        </w:numPr>
      </w:pPr>
      <w:r>
        <w:rPr>
          <w:b/>
        </w:rPr>
        <w:t xml:space="preserve">Demand letter to DK, Great Way, OEC Group, Dahlen Foward</w:t>
      </w:r>
      <w:r>
        <w:t xml:space="preserve"> </w:t>
      </w:r>
      <w:r>
        <w:t xml:space="preserve">— formal demand for (a) immediate release of the container, (b) refund of any sums extracted, (c) reservation of rights, (d) preservation of records. Replaces my 4/30 pro se letter as the operative legal demand.</w:t>
      </w:r>
    </w:p>
    <w:p>
      <w:pPr>
        <w:numPr>
          <w:ilvl w:val="0"/>
          <w:numId w:val="1001"/>
        </w:numPr>
      </w:pPr>
      <w:r>
        <w:rPr>
          <w:b/>
        </w:rPr>
        <w:t xml:space="preserve">Federal Maritime Commission complaint</w:t>
      </w:r>
      <w:r>
        <w:t xml:space="preserve"> </w:t>
      </w:r>
      <w:r>
        <w:t xml:space="preserve">— for OSRA detention/demurrage violations. No personal-jurisdiction issues, designed for this exact scenario, creates a public docket. File this in parallel with everything else.</w:t>
      </w:r>
    </w:p>
    <w:p>
      <w:pPr>
        <w:numPr>
          <w:ilvl w:val="0"/>
          <w:numId w:val="1001"/>
        </w:numPr>
      </w:pPr>
      <w:r>
        <w:rPr>
          <w:b/>
        </w:rPr>
        <w:t xml:space="preserve">My response to CBPO Butler</w:t>
      </w:r>
      <w:r>
        <w:t xml:space="preserve"> </w:t>
      </w:r>
      <w:r>
        <w:t xml:space="preserve">(sent by me, ideally with your eyes on it first) — answer the 7 questions factually. Coordinate with this if any of the answers might be sensitive to the civil case strategy.</w:t>
      </w:r>
    </w:p>
    <w:p>
      <w:pPr>
        <w:numPr>
          <w:ilvl w:val="0"/>
          <w:numId w:val="1001"/>
        </w:numPr>
      </w:pPr>
      <w:r>
        <w:rPr>
          <w:b/>
        </w:rPr>
        <w:t xml:space="preserve">Verified complaint + ex parte application for writ of replevin (or order to show cause for possession)</w:t>
      </w:r>
      <w:r>
        <w:t xml:space="preserve"> </w:t>
      </w:r>
      <w:r>
        <w:t xml:space="preserve">in</w:t>
      </w:r>
      <w:r>
        <w:t xml:space="preserve"> </w:t>
      </w:r>
      <w:r>
        <w:rPr>
          <w:b/>
        </w:rPr>
        <w:t xml:space="preserve">W.D. Washington</w:t>
      </w:r>
      <w:r>
        <w:t xml:space="preserve"> </w:t>
      </w:r>
      <w:r>
        <w:t xml:space="preserve">— name DK entities, Great Way, OEC Group, Dahlen Foward as defendants; name Portland Container as nominal bailee only. Goal: court-ordered release of the container to me.</w:t>
      </w:r>
    </w:p>
    <w:p>
      <w:r>
        <w:pict>
          <v:rect style="width:0;height:1.5pt" o:hralign="center" o:hrstd="t" o:hr="t"/>
        </w:pict>
      </w:r>
    </w:p>
    <w:p>
      <w:pPr>
        <w:pStyle w:val="Heading2"/>
      </w:pPr>
      <w:bookmarkStart w:id="23" w:name="venue"/>
      <w:r>
        <w:t xml:space="preserve">3. VENUE</w:t>
      </w:r>
      <w:bookmarkEnd w:id="23"/>
    </w:p>
    <w:p>
      <w:pPr>
        <w:pStyle w:val="FirstParagraph"/>
      </w:pPr>
      <w:r>
        <w:rPr>
          <w:b/>
        </w:rPr>
        <w:t xml:space="preserve">Recommended forum: Western District of Washington (Seattle).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Why W.D. Wash</w:t>
            </w:r>
          </w:p>
        </w:tc>
        <w:tc>
          <w:tcPr>
            <w:tcBorders>
              <w:bottom w:val="single"/>
            </w:tcBorders>
            <w:vAlign w:val="bottom"/>
          </w:tcPr>
          <w:p>
            <w:pPr>
              <w:pStyle w:val="Compact"/>
              <w:jc w:val="left"/>
            </w:pPr>
            <w:r>
              <w:t xml:space="preserve">Why not</w:t>
            </w:r>
          </w:p>
        </w:tc>
      </w:tr>
      <w:tr>
        <w:tc>
          <w:p>
            <w:pPr>
              <w:pStyle w:val="Compact"/>
              <w:jc w:val="left"/>
            </w:pPr>
            <w:r>
              <w:t xml:space="preserve">Place of customs fraud</w:t>
            </w:r>
          </w:p>
        </w:tc>
        <w:tc>
          <w:p>
            <w:pPr>
              <w:pStyle w:val="Compact"/>
              <w:jc w:val="left"/>
            </w:pPr>
            <w:r>
              <w:t xml:space="preserve">Strong — CBP entry filed at Seattle</w:t>
            </w:r>
          </w:p>
        </w:tc>
        <w:tc>
          <w:p>
            <w:pPr>
              <w:pStyle w:val="Compact"/>
              <w:jc w:val="left"/>
            </w:pPr>
            <w:r>
              <w:t xml:space="preserve">—</w:t>
            </w:r>
          </w:p>
        </w:tc>
      </w:tr>
      <w:tr>
        <w:tc>
          <w:p>
            <w:pPr>
              <w:pStyle w:val="Compact"/>
              <w:jc w:val="left"/>
            </w:pPr>
            <w:r>
              <w:t xml:space="preserve">Place of intended delivery</w:t>
            </w:r>
          </w:p>
        </w:tc>
        <w:tc>
          <w:p>
            <w:pPr>
              <w:pStyle w:val="Compact"/>
              <w:jc w:val="left"/>
            </w:pPr>
            <w:r>
              <w:t xml:space="preserve">Strong — Kent, WA</w:t>
            </w:r>
          </w:p>
        </w:tc>
        <w:tc>
          <w:p>
            <w:pPr>
              <w:pStyle w:val="Compact"/>
              <w:jc w:val="left"/>
            </w:pPr>
            <w:r>
              <w:t xml:space="preserve">—</w:t>
            </w:r>
          </w:p>
        </w:tc>
      </w:tr>
      <w:tr>
        <w:tc>
          <w:p>
            <w:pPr>
              <w:pStyle w:val="Compact"/>
              <w:jc w:val="left"/>
            </w:pPr>
            <w:r>
              <w:t xml:space="preserve">SSA Marine witnesses</w:t>
            </w:r>
          </w:p>
        </w:tc>
        <w:tc>
          <w:p>
            <w:pPr>
              <w:pStyle w:val="Compact"/>
              <w:jc w:val="left"/>
            </w:pPr>
            <w:r>
              <w:t xml:space="preserve">Strong — Brittney Nguyen, Tiffany, Cory all in Seattle</w:t>
            </w:r>
          </w:p>
        </w:tc>
        <w:tc>
          <w:p>
            <w:pPr>
              <w:pStyle w:val="Compact"/>
              <w:jc w:val="left"/>
            </w:pPr>
            <w:r>
              <w:t xml:space="preserve">—</w:t>
            </w:r>
          </w:p>
        </w:tc>
      </w:tr>
      <w:tr>
        <w:tc>
          <w:p>
            <w:pPr>
              <w:pStyle w:val="Compact"/>
              <w:jc w:val="left"/>
            </w:pPr>
            <w:r>
              <w:t xml:space="preserve">CBP investigators</w:t>
            </w:r>
          </w:p>
        </w:tc>
        <w:tc>
          <w:p>
            <w:pPr>
              <w:pStyle w:val="Compact"/>
              <w:jc w:val="left"/>
            </w:pPr>
            <w:r>
              <w:t xml:space="preserve">Strong — Cobbs, Parker, Butler all Seattle CBP</w:t>
            </w:r>
          </w:p>
        </w:tc>
        <w:tc>
          <w:p>
            <w:pPr>
              <w:pStyle w:val="Compact"/>
              <w:jc w:val="left"/>
            </w:pPr>
            <w:r>
              <w:t xml:space="preserve">—</w:t>
            </w:r>
          </w:p>
        </w:tc>
      </w:tr>
      <w:tr>
        <w:tc>
          <w:p>
            <w:pPr>
              <w:pStyle w:val="Compact"/>
              <w:jc w:val="left"/>
            </w:pPr>
            <w:r>
              <w:t xml:space="preserve">Bailee location</w:t>
            </w:r>
          </w:p>
        </w:tc>
        <w:tc>
          <w:p>
            <w:pPr>
              <w:pStyle w:val="Compact"/>
              <w:jc w:val="left"/>
            </w:pPr>
            <w:r>
              <w:t xml:space="preserve">Adjacent — Portland, OR</w:t>
            </w:r>
          </w:p>
        </w:tc>
        <w:tc>
          <w:p>
            <w:pPr>
              <w:pStyle w:val="Compact"/>
              <w:jc w:val="left"/>
            </w:pPr>
            <w:r>
              <w:t xml:space="preserve">—</w:t>
            </w:r>
          </w:p>
        </w:tc>
      </w:tr>
      <w:tr>
        <w:tc>
          <w:p>
            <w:pPr>
              <w:pStyle w:val="Compact"/>
              <w:jc w:val="left"/>
            </w:pPr>
            <w:r>
              <w:t xml:space="preserve">Defendants’ contacts with WA</w:t>
            </w:r>
          </w:p>
        </w:tc>
        <w:tc>
          <w:p>
            <w:pPr>
              <w:pStyle w:val="Compact"/>
              <w:jc w:val="left"/>
            </w:pPr>
            <w:r>
              <w:t xml:space="preserve">Strong — they shipped, filed, billed into WA</w:t>
            </w:r>
          </w:p>
        </w:tc>
        <w:tc>
          <w:p>
            <w:pPr>
              <w:pStyle w:val="Compact"/>
              <w:jc w:val="left"/>
            </w:pPr>
            <w:r>
              <w:t xml:space="preserve">—</w:t>
            </w:r>
          </w:p>
        </w:tc>
      </w:tr>
      <w:tr>
        <w:tc>
          <w:p>
            <w:pPr>
              <w:pStyle w:val="Compact"/>
              <w:jc w:val="left"/>
            </w:pPr>
            <w:r>
              <w:t xml:space="preserve">Admiralty jurisdiction</w:t>
            </w:r>
          </w:p>
        </w:tc>
        <w:tc>
          <w:p>
            <w:pPr>
              <w:pStyle w:val="Compact"/>
              <w:jc w:val="left"/>
            </w:pPr>
            <w:r>
              <w:t xml:space="preserve">Available in federal court</w:t>
            </w:r>
          </w:p>
        </w:tc>
        <w:tc>
          <w:p>
            <w:pPr>
              <w:pStyle w:val="Compact"/>
              <w:jc w:val="left"/>
            </w:pPr>
            <w:r>
              <w:t xml:space="preserve">—</w:t>
            </w:r>
          </w:p>
        </w:tc>
      </w:tr>
      <w:tr>
        <w:tc>
          <w:p>
            <w:pPr>
              <w:pStyle w:val="Compact"/>
              <w:jc w:val="left"/>
            </w:pPr>
            <w:r>
              <w:t xml:space="preserve">Counsel convenience</w:t>
            </w:r>
          </w:p>
        </w:tc>
        <w:tc>
          <w:p>
            <w:pPr>
              <w:pStyle w:val="Compact"/>
              <w:jc w:val="left"/>
            </w:pPr>
            <w:r>
              <w:t xml:space="preserve">Need WA local counsel / pro hac vice</w:t>
            </w:r>
          </w:p>
        </w:tc>
        <w:tc>
          <w:p>
            <w:pPr>
              <w:pStyle w:val="Compact"/>
              <w:jc w:val="left"/>
            </w:pPr>
            <w:r>
              <w:t xml:space="preserve">Adds cost</w:t>
            </w:r>
          </w:p>
        </w:tc>
      </w:tr>
    </w:tbl>
    <w:p>
      <w:pPr>
        <w:pStyle w:val="BodyText"/>
      </w:pPr>
      <w:r>
        <w:rPr>
          <w:b/>
        </w:rPr>
        <w:t xml:space="preserve">District of Utah</w:t>
      </w:r>
      <w:r>
        <w:t xml:space="preserve"> </w:t>
      </w:r>
      <w:r>
        <w:t xml:space="preserve">as a fallback only if you’re confident in the PJ argument: invoices and demands sent to Utah, wires originated from Utah (via Utah Fab), financial harm in Utah, business owner in Utah. Goods were never destined for Utah, which weakens the argument compared to the original analysis.</w:t>
      </w:r>
    </w:p>
    <w:p>
      <w:pPr>
        <w:pStyle w:val="BodyText"/>
      </w:pPr>
      <w:r>
        <w:rPr>
          <w:b/>
        </w:rPr>
        <w:t xml:space="preserve">FMC complaint</w:t>
      </w:r>
      <w:r>
        <w:t xml:space="preserve"> </w:t>
      </w:r>
      <w:r>
        <w:t xml:space="preserve">runs in parallel regardless — no PJ issues, nationwide reach.</w:t>
      </w:r>
    </w:p>
    <w:p>
      <w:pPr>
        <w:pStyle w:val="BodyText"/>
      </w:pPr>
      <w:r>
        <w:rPr>
          <w:b/>
        </w:rPr>
        <w:t xml:space="preserve">Avoid C.D. or N.D. California</w:t>
      </w:r>
      <w:r>
        <w:t xml:space="preserve"> </w:t>
      </w:r>
      <w:r>
        <w:t xml:space="preserve">— defendants’ home court, no advantage to filing there.</w:t>
      </w:r>
    </w:p>
    <w:p>
      <w:r>
        <w:pict>
          <v:rect style="width:0;height:1.5pt" o:hralign="center" o:hrstd="t" o:hr="t"/>
        </w:pict>
      </w:r>
    </w:p>
    <w:p>
      <w:pPr>
        <w:pStyle w:val="Heading2"/>
      </w:pPr>
      <w:bookmarkStart w:id="24" w:name="proposed-causes-of-action"/>
      <w:r>
        <w:t xml:space="preserve">4. PROPOSED CAUSES OF ACTION</w:t>
      </w:r>
      <w:bookmarkEnd w:id="24"/>
    </w:p>
    <w:p>
      <w:pPr>
        <w:pStyle w:val="FirstParagraph"/>
      </w:pPr>
      <w:r>
        <w:t xml:space="preserve">For your evaluation:</w:t>
      </w:r>
    </w:p>
    <w:p>
      <w:pPr>
        <w:numPr>
          <w:ilvl w:val="0"/>
          <w:numId w:val="1002"/>
        </w:numPr>
        <w:pStyle w:val="Compact"/>
      </w:pPr>
      <w:r>
        <w:rPr>
          <w:b/>
        </w:rPr>
        <w:t xml:space="preserve">Breach of contract</w:t>
      </w:r>
      <w:r>
        <w:t xml:space="preserve"> </w:t>
      </w:r>
      <w:r>
        <w:t xml:space="preserve">(DDP terms — all-in shipping was already paid)</w:t>
      </w:r>
    </w:p>
    <w:p>
      <w:pPr>
        <w:numPr>
          <w:ilvl w:val="0"/>
          <w:numId w:val="1002"/>
        </w:numPr>
        <w:pStyle w:val="Compact"/>
      </w:pPr>
      <w:r>
        <w:rPr>
          <w:b/>
        </w:rPr>
        <w:t xml:space="preserve">Common-law fraud / fraudulent misrepresentation</w:t>
      </w:r>
      <w:r>
        <w:t xml:space="preserve"> </w:t>
      </w:r>
      <w:r>
        <w:t xml:space="preserve">(inspection status, consignee swap, HTS code change, padded inspection fee on the invoice)</w:t>
      </w:r>
    </w:p>
    <w:p>
      <w:pPr>
        <w:numPr>
          <w:ilvl w:val="0"/>
          <w:numId w:val="1002"/>
        </w:numPr>
        <w:pStyle w:val="Compact"/>
      </w:pPr>
      <w:r>
        <w:rPr>
          <w:b/>
        </w:rPr>
        <w:t xml:space="preserve">Conversion</w:t>
      </w:r>
      <w:r>
        <w:t xml:space="preserve"> </w:t>
      </w:r>
      <w:r>
        <w:t xml:space="preserve">(use of physical control over my goods to extract payment)</w:t>
      </w:r>
    </w:p>
    <w:p>
      <w:pPr>
        <w:numPr>
          <w:ilvl w:val="0"/>
          <w:numId w:val="1002"/>
        </w:numPr>
        <w:pStyle w:val="Compact"/>
      </w:pPr>
      <w:r>
        <w:rPr>
          <w:b/>
        </w:rPr>
        <w:t xml:space="preserve">Civil extortion / duress</w:t>
      </w:r>
      <w:r>
        <w:t xml:space="preserve"> </w:t>
      </w:r>
      <w:r>
        <w:t xml:space="preserve">under WA / CA analogues</w:t>
      </w:r>
    </w:p>
    <w:p>
      <w:pPr>
        <w:numPr>
          <w:ilvl w:val="0"/>
          <w:numId w:val="1002"/>
        </w:numPr>
        <w:pStyle w:val="Compact"/>
      </w:pPr>
      <w:r>
        <w:rPr>
          <w:b/>
        </w:rPr>
        <w:t xml:space="preserve">Unjust enrichment</w:t>
      </w:r>
    </w:p>
    <w:p>
      <w:pPr>
        <w:numPr>
          <w:ilvl w:val="0"/>
          <w:numId w:val="1002"/>
        </w:numPr>
        <w:pStyle w:val="Compact"/>
      </w:pPr>
      <w:r>
        <w:rPr>
          <w:b/>
        </w:rPr>
        <w:t xml:space="preserve">Tortious interference with contract</w:t>
      </w:r>
      <w:r>
        <w:t xml:space="preserve"> </w:t>
      </w:r>
      <w:r>
        <w:t xml:space="preserve">(with my customer Worldwide Distributors)</w:t>
      </w:r>
    </w:p>
    <w:p>
      <w:pPr>
        <w:numPr>
          <w:ilvl w:val="0"/>
          <w:numId w:val="1002"/>
        </w:numPr>
        <w:pStyle w:val="Compact"/>
      </w:pPr>
      <w:r>
        <w:rPr>
          <w:b/>
        </w:rPr>
        <w:t xml:space="preserve">Federal Maritime Commission complaint</w:t>
      </w:r>
      <w:r>
        <w:t xml:space="preserve"> </w:t>
      </w:r>
      <w:r>
        <w:t xml:space="preserve">(separate administrative proceeding under OSRA / 46 U.S.C.)</w:t>
      </w:r>
    </w:p>
    <w:p>
      <w:pPr>
        <w:numPr>
          <w:ilvl w:val="0"/>
          <w:numId w:val="1002"/>
        </w:numPr>
        <w:pStyle w:val="Compact"/>
      </w:pPr>
      <w:r>
        <w:rPr>
          <w:b/>
        </w:rPr>
        <w:t xml:space="preserve">CBP referral</w:t>
      </w:r>
      <w:r>
        <w:t xml:space="preserve"> </w:t>
      </w:r>
      <w:r>
        <w:t xml:space="preserve">for false entry — 19 U.S.C. § 1592 (already in motion via CBPO Butler)</w:t>
      </w:r>
    </w:p>
    <w:p>
      <w:pPr>
        <w:numPr>
          <w:ilvl w:val="0"/>
          <w:numId w:val="1002"/>
        </w:numPr>
        <w:pStyle w:val="Compact"/>
      </w:pPr>
      <w:r>
        <w:rPr>
          <w:b/>
        </w:rPr>
        <w:t xml:space="preserve">Washington Consumer Protection Act</w:t>
      </w:r>
      <w:r>
        <w:t xml:space="preserve"> </w:t>
      </w:r>
      <w:r>
        <w:t xml:space="preserve">(RCW 19.86) — pattern of unfair/deceptive trade practices</w:t>
      </w:r>
    </w:p>
    <w:p>
      <w:pPr>
        <w:numPr>
          <w:ilvl w:val="0"/>
          <w:numId w:val="1002"/>
        </w:numPr>
        <w:pStyle w:val="Compact"/>
      </w:pPr>
      <w:r>
        <w:rPr>
          <w:b/>
        </w:rPr>
        <w:t xml:space="preserve">California Unfair Competition Law</w:t>
      </w:r>
      <w:r>
        <w:t xml:space="preserve"> </w:t>
      </w:r>
      <w:r>
        <w:t xml:space="preserve">(Bus. &amp; Prof. Code § 17200) — DK is CA-based</w:t>
      </w:r>
    </w:p>
    <w:p>
      <w:pPr>
        <w:numPr>
          <w:ilvl w:val="0"/>
          <w:numId w:val="1002"/>
        </w:numPr>
        <w:pStyle w:val="Compact"/>
      </w:pPr>
      <w:r>
        <w:rPr>
          <w:b/>
        </w:rPr>
        <w:t xml:space="preserve">Civil RICO</w:t>
      </w:r>
      <w:r>
        <w:t xml:space="preserve"> </w:t>
      </w:r>
      <w:r>
        <w:t xml:space="preserve">— pattern is potentially supportable; an industry source has informed me DK has done this to other importers in 2026 (source has asked not to be disclosed; corroboration paths in case file §5G)</w:t>
      </w:r>
    </w:p>
    <w:p>
      <w:pPr>
        <w:numPr>
          <w:ilvl w:val="0"/>
          <w:numId w:val="1002"/>
        </w:numPr>
        <w:pStyle w:val="Compact"/>
      </w:pPr>
      <w:r>
        <w:rPr>
          <w:b/>
        </w:rPr>
        <w:t xml:space="preserve">Alter-ego / corporate veil piercing</w:t>
      </w:r>
      <w:r>
        <w:t xml:space="preserve"> </w:t>
      </w:r>
      <w:r>
        <w:t xml:space="preserve">across the DK entities (DK USA, DK China Group, DK Intermodal Service, DK Trucking DBA United Shipping Inc, DK Freight) — same suite address, overlapping personnel, multiple DBAs invoicing the same shipment</w:t>
      </w:r>
    </w:p>
    <w:p>
      <w:r>
        <w:pict>
          <v:rect style="width:0;height:1.5pt" o:hralign="center" o:hrstd="t" o:hr="t"/>
        </w:pict>
      </w:r>
    </w:p>
    <w:p>
      <w:pPr>
        <w:pStyle w:val="Heading2"/>
      </w:pPr>
      <w:bookmarkStart w:id="25" w:name="defendants-who-to-name"/>
      <w:r>
        <w:t xml:space="preserve">5. DEFENDANTS — WHO TO NAME</w:t>
      </w:r>
      <w:bookmarkEnd w:id="25"/>
    </w:p>
    <w:p>
      <w:pPr>
        <w:pStyle w:val="FirstParagraph"/>
      </w:pPr>
      <w:r>
        <w:rPr>
          <w:b/>
        </w:rPr>
        <w:t xml:space="preserve">Direct defendants:</w:t>
      </w:r>
      <w:r>
        <w:t xml:space="preserve"> </w:t>
      </w:r>
      <w:r>
        <w:t xml:space="preserve">- DK USA / DK China Group / DK Intermodal Service / DK Trucking DBA United Shipping Inc / DK Freight (alter-ego claim across these)</w:t>
      </w:r>
      <w:r>
        <w:t xml:space="preserve"> </w:t>
      </w:r>
      <w:r>
        <w:t xml:space="preserve">- Great Way Trading &amp; Transportation Inc</w:t>
      </w:r>
      <w:r>
        <w:t xml:space="preserve"> </w:t>
      </w:r>
      <w:r>
        <w:t xml:space="preserve">- OEC Group (parent of the demurrage invoicer)</w:t>
      </w:r>
      <w:r>
        <w:t xml:space="preserve"> </w:t>
      </w:r>
      <w:r>
        <w:t xml:space="preserve">- Dahlen Foward Shipping Supply Chain (Shanghai) Co., Ltd. (Hague service caveat — practical purpose is default judgment + leverage on US correspondent accounts)</w:t>
      </w:r>
    </w:p>
    <w:p>
      <w:pPr>
        <w:pStyle w:val="BodyText"/>
      </w:pPr>
      <w:r>
        <w:rPr>
          <w:b/>
        </w:rPr>
        <w:t xml:space="preserve">Nominal bailee only (no claim for damages):</w:t>
      </w:r>
      <w:r>
        <w:t xml:space="preserve"> </w:t>
      </w:r>
      <w:r>
        <w:t xml:space="preserve">- Portland Container — name only for purposes of binding them to a release order. They are a friendly witness; do not allege wrongdoing.</w:t>
      </w:r>
    </w:p>
    <w:p>
      <w:pPr>
        <w:pStyle w:val="BodyText"/>
      </w:pPr>
      <w:r>
        <w:rPr>
          <w:b/>
        </w:rPr>
        <w:t xml:space="preserve">Subpoena targets only — do NOT name:</w:t>
      </w:r>
      <w:r>
        <w:t xml:space="preserve"> </w:t>
      </w:r>
      <w:r>
        <w:t xml:space="preserve">- ICCB / Yiwei Liu (licensed customs broker — friendly witness on POA timeline)</w:t>
      </w:r>
      <w:r>
        <w:t xml:space="preserve"> </w:t>
      </w:r>
      <w:r>
        <w:t xml:space="preserve">- SSA Marine (terminal — friendly witness)</w:t>
      </w:r>
      <w:r>
        <w:t xml:space="preserve"> </w:t>
      </w:r>
      <w:r>
        <w:t xml:space="preserve">- Worldwide Distributors (my customer)</w:t>
      </w:r>
      <w:r>
        <w:t xml:space="preserve"> </w:t>
      </w:r>
      <w:r>
        <w:t xml:space="preserve">- Utah Fab / Aaron Peterson / Sabrina Fryer (wire-loan source — fact witnesses on the agreed DDP price)</w:t>
      </w:r>
    </w:p>
    <w:p>
      <w:r>
        <w:pict>
          <v:rect style="width:0;height:1.5pt" o:hralign="center" o:hrstd="t" o:hr="t"/>
        </w:pict>
      </w:r>
    </w:p>
    <w:p>
      <w:pPr>
        <w:pStyle w:val="Heading2"/>
      </w:pPr>
      <w:bookmarkStart w:id="26" w:name="key-evidence-already-in-hand"/>
      <w:r>
        <w:t xml:space="preserve">6. KEY EVIDENCE ALREADY IN HAND</w:t>
      </w:r>
      <w:bookmarkEnd w:id="26"/>
    </w:p>
    <w:p>
      <w:pPr>
        <w:pStyle w:val="FirstParagraph"/>
      </w:pPr>
      <w:r>
        <w:t xml:space="preserve">(Full exhibit index in case file §11)</w:t>
      </w:r>
    </w:p>
    <w:p>
      <w:pPr>
        <w:numPr>
          <w:ilvl w:val="0"/>
          <w:numId w:val="1003"/>
        </w:numPr>
        <w:pStyle w:val="Compact"/>
      </w:pPr>
      <w:r>
        <w:rPr>
          <w:b/>
        </w:rPr>
        <w:t xml:space="preserve">The two 3/11/26 wires</w:t>
      </w:r>
      <w:r>
        <w:t xml:space="preserve"> </w:t>
      </w:r>
      <w:r>
        <w:t xml:space="preserve">establishing the agreed all-in DDP price ($6,474.61 to Dahlen Foward Shipping; $24,576.96 to High Hope factory) — Utah Fab email thread</w:t>
      </w:r>
    </w:p>
    <w:p>
      <w:pPr>
        <w:numPr>
          <w:ilvl w:val="0"/>
          <w:numId w:val="1003"/>
        </w:numPr>
        <w:pStyle w:val="Compact"/>
      </w:pPr>
      <w:r>
        <w:rPr>
          <w:b/>
        </w:rPr>
        <w:t xml:space="preserve">DK Freight’s own SSA payment receipt</w:t>
      </w:r>
      <w:r>
        <w:t xml:space="preserve"> </w:t>
      </w:r>
      <w:r>
        <w:t xml:space="preserve">— Alice Zhang, Purchase #C0007115444, $14,617.02, VISA-8708, 4/21/26</w:t>
      </w:r>
    </w:p>
    <w:p>
      <w:pPr>
        <w:numPr>
          <w:ilvl w:val="0"/>
          <w:numId w:val="1003"/>
        </w:numPr>
        <w:pStyle w:val="Compact"/>
      </w:pPr>
      <w:r>
        <w:rPr>
          <w:b/>
        </w:rPr>
        <w:t xml:space="preserve">DK’s internal</w:t>
      </w:r>
      <w:r>
        <w:rPr>
          <w:b/>
        </w:rPr>
        <w:t xml:space="preserve"> </w:t>
      </w:r>
      <w:r>
        <w:rPr>
          <w:b/>
        </w:rPr>
        <w:t xml:space="preserve">“</w:t>
      </w:r>
      <w:r>
        <w:rPr>
          <w:b/>
        </w:rPr>
        <w:t xml:space="preserve">Review the bill</w:t>
      </w:r>
      <w:r>
        <w:rPr>
          <w:b/>
        </w:rPr>
        <w:t xml:space="preserve">”</w:t>
      </w:r>
      <w:r>
        <w:rPr>
          <w:b/>
        </w:rPr>
        <w:t xml:space="preserve"> </w:t>
      </w:r>
      <w:r>
        <w:rPr>
          <w:b/>
        </w:rPr>
        <w:t xml:space="preserve">workbook</w:t>
      </w:r>
      <w:r>
        <w:t xml:space="preserve"> </w:t>
      </w:r>
      <w:r>
        <w:t xml:space="preserve">(.xls) — admits actual cost ~$27,682, contradicting the ~$34,000 invoiced to me</w:t>
      </w:r>
    </w:p>
    <w:p>
      <w:pPr>
        <w:numPr>
          <w:ilvl w:val="0"/>
          <w:numId w:val="1003"/>
        </w:numPr>
        <w:pStyle w:val="Compact"/>
      </w:pPr>
      <w:r>
        <w:rPr>
          <w:b/>
        </w:rPr>
        <w:t xml:space="preserve">OEC Group / Great Way invoice</w:t>
      </w:r>
      <w:r>
        <w:t xml:space="preserve"> </w:t>
      </w:r>
      <w:r>
        <w:t xml:space="preserve">— $9,850 OSRA destination container demurrage</w:t>
      </w:r>
    </w:p>
    <w:p>
      <w:pPr>
        <w:numPr>
          <w:ilvl w:val="0"/>
          <w:numId w:val="1003"/>
        </w:numPr>
        <w:pStyle w:val="Compact"/>
      </w:pPr>
      <w:r>
        <w:rPr>
          <w:b/>
        </w:rPr>
        <w:t xml:space="preserve">ICCB email thread (3/29 – 4/1)</w:t>
      </w:r>
      <w:r>
        <w:t xml:space="preserve"> </w:t>
      </w:r>
      <w:r>
        <w:t xml:space="preserve">— proves no valid POA existed before 3/29/26</w:t>
      </w:r>
    </w:p>
    <w:p>
      <w:pPr>
        <w:numPr>
          <w:ilvl w:val="0"/>
          <w:numId w:val="1003"/>
        </w:numPr>
        <w:pStyle w:val="Compact"/>
      </w:pPr>
      <w:r>
        <w:rPr>
          <w:b/>
        </w:rPr>
        <w:t xml:space="preserve">SSA Marine email from Brittney Nguyen</w:t>
      </w:r>
      <w:r>
        <w:t xml:space="preserve"> </w:t>
      </w:r>
      <w:r>
        <w:t xml:space="preserve">— confirms in writing container never left terminal for inspection</w:t>
      </w:r>
    </w:p>
    <w:p>
      <w:pPr>
        <w:numPr>
          <w:ilvl w:val="0"/>
          <w:numId w:val="1003"/>
        </w:numPr>
        <w:pStyle w:val="Compact"/>
      </w:pPr>
      <w:r>
        <w:rPr>
          <w:b/>
        </w:rPr>
        <w:t xml:space="preserve">CBP Seattle email from CBPO Butler (4/29)</w:t>
      </w:r>
      <w:r>
        <w:t xml:space="preserve"> </w:t>
      </w:r>
      <w:r>
        <w:t xml:space="preserve">— 7-question information request, active investigation</w:t>
      </w:r>
    </w:p>
    <w:p>
      <w:pPr>
        <w:numPr>
          <w:ilvl w:val="0"/>
          <w:numId w:val="1003"/>
        </w:numPr>
        <w:pStyle w:val="Compact"/>
      </w:pPr>
      <w:r>
        <w:rPr>
          <w:b/>
        </w:rPr>
        <w:t xml:space="preserve">DK’s own internal contradictions on 5/4</w:t>
      </w:r>
      <w:r>
        <w:t xml:space="preserve">:</w:t>
      </w:r>
    </w:p>
    <w:p>
      <w:pPr>
        <w:numPr>
          <w:ilvl w:val="1"/>
          <w:numId w:val="1004"/>
        </w:numPr>
        <w:pStyle w:val="Compact"/>
      </w:pPr>
      <w:r>
        <w:t xml:space="preserve">Smile Wang at 4:50 AM:</w:t>
      </w:r>
      <w:r>
        <w:t xml:space="preserve"> </w:t>
      </w:r>
      <w:r>
        <w:t xml:space="preserve">“</w:t>
      </w:r>
      <w:r>
        <w:t xml:space="preserve">We are only trucking company</w:t>
      </w:r>
      <w:r>
        <w:t xml:space="preserve">”</w:t>
      </w:r>
    </w:p>
    <w:p>
      <w:pPr>
        <w:numPr>
          <w:ilvl w:val="1"/>
          <w:numId w:val="1004"/>
        </w:numPr>
        <w:pStyle w:val="Compact"/>
      </w:pPr>
      <w:r>
        <w:t xml:space="preserve">Smile Wang at 11:11 AM:</w:t>
      </w:r>
      <w:r>
        <w:t xml:space="preserve"> </w:t>
      </w:r>
      <w:r>
        <w:t xml:space="preserve">“</w:t>
      </w:r>
      <w:r>
        <w:t xml:space="preserve">wrong person… we’re just drivers</w:t>
      </w:r>
      <w:r>
        <w:t xml:space="preserve">”</w:t>
      </w:r>
    </w:p>
    <w:p>
      <w:pPr>
        <w:numPr>
          <w:ilvl w:val="1"/>
          <w:numId w:val="1004"/>
        </w:numPr>
        <w:pStyle w:val="Compact"/>
      </w:pPr>
      <w:r>
        <w:rPr>
          <w:b/>
        </w:rPr>
        <w:t xml:space="preserve">Lucas at 11:52 AM:</w:t>
      </w:r>
      <w:r>
        <w:rPr>
          <w:b/>
        </w:rPr>
        <w:t xml:space="preserve"> </w:t>
      </w:r>
      <w:r>
        <w:rPr>
          <w:b/>
        </w:rPr>
        <w:t xml:space="preserve">“</w:t>
      </w:r>
      <w:r>
        <w:rPr>
          <w:b/>
        </w:rPr>
        <w:t xml:space="preserve">We handled both the booking AND customs clearance on your behalf</w:t>
      </w:r>
      <w:r>
        <w:rPr>
          <w:b/>
        </w:rPr>
        <w:t xml:space="preserve">”</w:t>
      </w:r>
      <w:r>
        <w:t xml:space="preserve"> </w:t>
      </w:r>
      <w:r>
        <w:t xml:space="preserve">← key admission</w:t>
      </w:r>
    </w:p>
    <w:p>
      <w:pPr>
        <w:numPr>
          <w:ilvl w:val="0"/>
          <w:numId w:val="1003"/>
        </w:numPr>
        <w:pStyle w:val="Compact"/>
      </w:pPr>
      <w:r>
        <w:rPr>
          <w:b/>
        </w:rPr>
        <w:t xml:space="preserve">AMS history printout</w:t>
      </w:r>
      <w:r>
        <w:t xml:space="preserve"> </w:t>
      </w:r>
      <w:r>
        <w:t xml:space="preserve">— full CBP enforcement hold timeline (2/11 hold, 2/27 second hold for POA, 4/7 fully cleared)</w:t>
      </w:r>
    </w:p>
    <w:p>
      <w:r>
        <w:pict>
          <v:rect style="width:0;height:1.5pt" o:hralign="center" o:hrstd="t" o:hr="t"/>
        </w:pict>
      </w:r>
    </w:p>
    <w:p>
      <w:pPr>
        <w:pStyle w:val="Heading2"/>
      </w:pPr>
      <w:bookmarkStart w:id="27" w:name="X90acaccaca71a5381e810f403b063977b1f43e4"/>
      <w:r>
        <w:t xml:space="preserve">7. URGENT OPEN QUESTIONS / ACTION ITEMS FOR ME</w:t>
      </w:r>
      <w:bookmarkEnd w:id="27"/>
    </w:p>
    <w:p>
      <w:pPr>
        <w:numPr>
          <w:ilvl w:val="0"/>
          <w:numId w:val="1005"/>
        </w:numPr>
        <w:pStyle w:val="Compact"/>
      </w:pPr>
      <w:r>
        <w:t xml:space="preserve">Confirm</w:t>
      </w:r>
      <w:r>
        <w:t xml:space="preserve"> </w:t>
      </w:r>
      <w:r>
        <w:t xml:space="preserve">“</w:t>
      </w:r>
      <w:r>
        <w:t xml:space="preserve">Greatland</w:t>
      </w:r>
      <w:r>
        <w:t xml:space="preserve">”</w:t>
      </w:r>
      <w:r>
        <w:t xml:space="preserve"> </w:t>
      </w:r>
      <w:r>
        <w:t xml:space="preserve">vs. </w:t>
      </w:r>
      <w:r>
        <w:t xml:space="preserve">“</w:t>
      </w:r>
      <w:r>
        <w:t xml:space="preserve">Great Way Trading &amp; Transportation</w:t>
      </w:r>
      <w:r>
        <w:t xml:space="preserve">”</w:t>
      </w:r>
      <w:r>
        <w:t xml:space="preserve"> </w:t>
      </w:r>
      <w:r>
        <w:t xml:space="preserve">— same entity or two separate substituted consignees?</w:t>
      </w:r>
    </w:p>
    <w:p>
      <w:pPr>
        <w:numPr>
          <w:ilvl w:val="0"/>
          <w:numId w:val="1005"/>
        </w:numPr>
        <w:pStyle w:val="Compact"/>
      </w:pPr>
      <w:r>
        <w:t xml:space="preserve">Confirm</w:t>
      </w:r>
      <w:r>
        <w:t xml:space="preserve"> </w:t>
      </w:r>
      <w:r>
        <w:t xml:space="preserve">“</w:t>
      </w:r>
      <w:r>
        <w:t xml:space="preserve">Foward</w:t>
      </w:r>
      <w:r>
        <w:t xml:space="preserve">”</w:t>
      </w:r>
      <w:r>
        <w:t xml:space="preserve"> </w:t>
      </w:r>
      <w:r>
        <w:t xml:space="preserve">vs. </w:t>
      </w:r>
      <w:r>
        <w:t xml:space="preserve">“</w:t>
      </w:r>
      <w:r>
        <w:t xml:space="preserve">Forward</w:t>
      </w:r>
      <w:r>
        <w:t xml:space="preserve">”</w:t>
      </w:r>
      <w:r>
        <w:t xml:space="preserve"> </w:t>
      </w:r>
      <w:r>
        <w:t xml:space="preserve">spelling on Dahlen Foward</w:t>
      </w:r>
    </w:p>
    <w:p>
      <w:pPr>
        <w:numPr>
          <w:ilvl w:val="0"/>
          <w:numId w:val="1005"/>
        </w:numPr>
        <w:pStyle w:val="Compact"/>
      </w:pPr>
      <w:r>
        <w:t xml:space="preserve">Locate and produce the original commercial invoice / packing list from High Hope showing the agreed shipping arrangement and original consignee</w:t>
      </w:r>
    </w:p>
    <w:p>
      <w:pPr>
        <w:numPr>
          <w:ilvl w:val="0"/>
          <w:numId w:val="1005"/>
        </w:numPr>
        <w:pStyle w:val="Compact"/>
      </w:pPr>
      <w:r>
        <w:t xml:space="preserve">Locate the 7501 (Entry Summary) — I have not been able to find it</w:t>
      </w:r>
    </w:p>
    <w:p>
      <w:pPr>
        <w:numPr>
          <w:ilvl w:val="0"/>
          <w:numId w:val="1005"/>
        </w:numPr>
        <w:pStyle w:val="Compact"/>
      </w:pPr>
      <w:r>
        <w:t xml:space="preserve">Pull all WeChat / WhatsApp logs with DK personnel (Smile Wang’s WeChat is 13842618282)</w:t>
      </w:r>
    </w:p>
    <w:p>
      <w:pPr>
        <w:numPr>
          <w:ilvl w:val="0"/>
          <w:numId w:val="1005"/>
        </w:numPr>
        <w:pStyle w:val="Compact"/>
      </w:pPr>
      <w:r>
        <w:t xml:space="preserve">Decide on cooperation framework with CBPO Butler — coordinate with you before responding</w:t>
      </w:r>
    </w:p>
    <w:p>
      <w:pPr>
        <w:numPr>
          <w:ilvl w:val="0"/>
          <w:numId w:val="1005"/>
        </w:numPr>
        <w:pStyle w:val="Compact"/>
      </w:pPr>
      <w:r>
        <w:t xml:space="preserve">Get Aaron Peterson and Sabrina Fryer (Utah Fab) ready to sign declarations on the wires and the agreed DDP price</w:t>
      </w:r>
    </w:p>
    <w:p>
      <w:pPr>
        <w:numPr>
          <w:ilvl w:val="0"/>
          <w:numId w:val="1005"/>
        </w:numPr>
        <w:pStyle w:val="Compact"/>
      </w:pPr>
      <w:r>
        <w:t xml:space="preserve">Get Alison at Portland Container ready for a friendly witness declaration</w:t>
      </w:r>
    </w:p>
    <w:p>
      <w:r>
        <w:pict>
          <v:rect style="width:0;height:1.5pt" o:hralign="center" o:hrstd="t" o:hr="t"/>
        </w:pict>
      </w:r>
    </w:p>
    <w:p>
      <w:pPr>
        <w:pStyle w:val="Heading2"/>
      </w:pPr>
      <w:bookmarkStart w:id="28" w:name="what-i-am-sending-to-my-customer"/>
      <w:r>
        <w:t xml:space="preserve">8. WHAT I AM SENDING TO MY CUSTOMER</w:t>
      </w:r>
      <w:bookmarkEnd w:id="28"/>
    </w:p>
    <w:p>
      <w:pPr>
        <w:pStyle w:val="FirstParagraph"/>
      </w:pPr>
      <w:r>
        <w:t xml:space="preserve">I have prepared a separate customer-facing letter to Worldwide Distributors (Kent, WA) explaining what happened, what I’m doing about it, and timing expectations. I am sending it under my own name as a business communication — not as a legal document. I would welcome your review before sending if you have time.</w:t>
      </w:r>
    </w:p>
    <w:p>
      <w:r>
        <w:pict>
          <v:rect style="width:0;height:1.5pt" o:hralign="center" o:hrstd="t" o:hr="t"/>
        </w:pict>
      </w:r>
    </w:p>
    <w:p>
      <w:pPr>
        <w:pStyle w:val="Heading2"/>
      </w:pPr>
      <w:bookmarkStart w:id="29" w:name="what-im-asking-of-you"/>
      <w:r>
        <w:t xml:space="preserve">9. WHAT I’M ASKING OF YOU</w:t>
      </w:r>
      <w:bookmarkEnd w:id="29"/>
    </w:p>
    <w:p>
      <w:pPr>
        <w:numPr>
          <w:ilvl w:val="0"/>
          <w:numId w:val="1006"/>
        </w:numPr>
        <w:pStyle w:val="Compact"/>
      </w:pPr>
      <w:r>
        <w:t xml:space="preserve">Confirm forum recommendation (W.D. Wash vs. D. Utah) and whether you are comfortable carrying it solo or want WA local counsel</w:t>
      </w:r>
    </w:p>
    <w:p>
      <w:pPr>
        <w:numPr>
          <w:ilvl w:val="0"/>
          <w:numId w:val="1006"/>
        </w:numPr>
        <w:pStyle w:val="Compact"/>
      </w:pPr>
      <w:r>
        <w:t xml:space="preserve">Authorize the litigation hold + preservation letter sequence in §2</w:t>
      </w:r>
    </w:p>
    <w:p>
      <w:pPr>
        <w:numPr>
          <w:ilvl w:val="0"/>
          <w:numId w:val="1006"/>
        </w:numPr>
        <w:pStyle w:val="Compact"/>
      </w:pPr>
      <w:r>
        <w:t xml:space="preserve">Authorize the FMC complaint</w:t>
      </w:r>
    </w:p>
    <w:p>
      <w:pPr>
        <w:numPr>
          <w:ilvl w:val="0"/>
          <w:numId w:val="1006"/>
        </w:numPr>
        <w:pStyle w:val="Compact"/>
      </w:pPr>
      <w:r>
        <w:t xml:space="preserve">Set a working session this week to review the case file and finalize the demand letter</w:t>
      </w:r>
    </w:p>
    <w:p>
      <w:pPr>
        <w:pStyle w:val="FirstParagraph"/>
      </w:pPr>
      <w:r>
        <w:t xml:space="preserve">I’m available all week. I want to move fast — the longer the container sits in Portland, the more leverage these parties think they have.</w:t>
      </w:r>
    </w:p>
    <w:p>
      <w:pPr>
        <w:pStyle w:val="BodyText"/>
      </w:pPr>
      <w:r>
        <w:t xml:space="preserve">Andrew Peterson</w:t>
      </w:r>
      <w:r>
        <w:t xml:space="preserve"> </w:t>
      </w:r>
      <w:r>
        <w:t xml:space="preserve">Owner, 801, LLC</w:t>
      </w:r>
      <w:r>
        <w:t xml:space="preserve"> </w:t>
      </w:r>
      <w:r>
        <w:t xml:space="preserve">andrew@801inc.com | 801.809.6000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2026-05-05T04:08:28Z</dcterms:created>
  <dcterms:modified xsi:type="dcterms:W3CDTF">2026-05-05T04:08:28Z</dcterms:modified>
</cp:coreProperties>
</file>

<file path=docProps/custom.xml><?xml version="1.0" encoding="utf-8"?>
<Properties xmlns="http://schemas.openxmlformats.org/officeDocument/2006/custom-properties" xmlns:vt="http://schemas.openxmlformats.org/officeDocument/2006/docPropsVTypes"/>
</file>