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email-to-zack-winzeler"/>
      <w:r>
        <w:t xml:space="preserve">Email to Zack Winzeler</w:t>
      </w:r>
      <w:bookmarkEnd w:id="20"/>
    </w:p>
    <w:p>
      <w:pPr>
        <w:pStyle w:val="FirstParagraph"/>
      </w:pPr>
      <w:r>
        <w:rPr>
          <w:b/>
        </w:rPr>
        <w:t xml:space="preserve">To:</w:t>
      </w:r>
      <w:r>
        <w:t xml:space="preserve"> </w:t>
      </w:r>
      <w:r>
        <w:t xml:space="preserve">Zack Winzeler</w:t>
      </w:r>
      <w:r>
        <w:t xml:space="preserve"> </w:t>
      </w:r>
      <w:r>
        <w:rPr>
          <w:b/>
        </w:rPr>
        <w:t xml:space="preserve">From:</w:t>
      </w:r>
      <w:r>
        <w:t xml:space="preserve"> </w:t>
      </w:r>
      <w:r>
        <w:t xml:space="preserve">Andrew Peterson</w:t>
      </w:r>
      <w:r>
        <w:t xml:space="preserve"> </w:t>
      </w:r>
      <w:hyperlink r:id="rId21">
        <w:r>
          <w:rPr>
            <w:rStyle w:val="Hyperlink"/>
          </w:rPr>
          <w:t xml:space="preserve">andrew@801inc.com</w:t>
        </w:r>
      </w:hyperlink>
      <w:r>
        <w:t xml:space="preserve"> </w:t>
      </w:r>
      <w:r>
        <w:rPr>
          <w:b/>
        </w:rPr>
        <w:t xml:space="preserve">Subject:</w:t>
      </w:r>
      <w:r>
        <w:t xml:space="preserve"> </w:t>
      </w:r>
      <w:r>
        <w:t xml:space="preserve">New matter — 801, LLC v. DK Group et al. (customs fraud / container hijack — need to move this week)</w:t>
      </w:r>
    </w:p>
    <w:p>
      <w:r>
        <w:pict>
          <v:rect style="width:0;height:1.5pt" o:hralign="center" o:hrstd="t" o:hr="t"/>
        </w:pict>
      </w:r>
    </w:p>
    <w:p>
      <w:pPr>
        <w:pStyle w:val="FirstParagraph"/>
      </w:pPr>
      <w:r>
        <w:t xml:space="preserve">Zack,</w:t>
      </w:r>
    </w:p>
    <w:p>
      <w:pPr>
        <w:pStyle w:val="BodyText"/>
      </w:pPr>
      <w:r>
        <w:t xml:space="preserve">I’ve got a live one I need your help on, and the timing is tight. Short version below; full case file and a handoff brief are attached so you can come up to speed quickly.</w:t>
      </w:r>
    </w:p>
    <w:p>
      <w:pPr>
        <w:pStyle w:val="BodyText"/>
      </w:pPr>
      <w:r>
        <w:rPr>
          <w:b/>
        </w:rPr>
        <w:t xml:space="preserve">The situation.</w:t>
      </w:r>
      <w:r>
        <w:t xml:space="preserve"> </w:t>
      </w:r>
      <w:r>
        <w:t xml:space="preserve">801, LLC bought a container of sleeping bags from a Chinese factory on DDP terms for delivery to my customer Worldwide Distributors in Kent, WA. I paid the all-in DDP shipping ($6,474.61) and the factory ($24,576.96) by wire on March 11. The container landed at the Port of Seattle on March 16. It then sat at the SSA Marine terminal until April 21 because the US-side shipping agents (a network of related entities operating as</w:t>
      </w:r>
      <w:r>
        <w:t xml:space="preserve"> </w:t>
      </w:r>
      <w:r>
        <w:t xml:space="preserve">“</w:t>
      </w:r>
      <w:r>
        <w:t xml:space="preserve">DK Group</w:t>
      </w:r>
      <w:r>
        <w:t xml:space="preserve">”</w:t>
      </w:r>
      <w:r>
        <w:t xml:space="preserve"> </w:t>
      </w:r>
      <w:r>
        <w:t xml:space="preserve">out of City of Industry, CA, plus Great Way Trading &amp; Transportation in Union City, CA, plus OEC Group as the deconsolidator) filed it into US Customs without a valid Power of Attorney from me, with the wrong consignee, and with the wrong commodity classification (</w:t>
      </w:r>
      <w:r>
        <w:t xml:space="preserve">“</w:t>
      </w:r>
      <w:r>
        <w:t xml:space="preserve">fishing line</w:t>
      </w:r>
      <w:r>
        <w:t xml:space="preserve">”</w:t>
      </w:r>
      <w:r>
        <w:t xml:space="preserve"> </w:t>
      </w:r>
      <w:r>
        <w:t xml:space="preserve">instead of sleeping bags). CBP held it on enforcement.</w:t>
      </w:r>
    </w:p>
    <w:p>
      <w:pPr>
        <w:pStyle w:val="BodyText"/>
      </w:pPr>
      <w:r>
        <w:t xml:space="preserve">DK eventually got my POA on March 29. CBP cleared the container April 7. DK paid SSA $14,617.02 in demurrage on April 21, then turned around and invoiced me roughly $34,000 to release my own goods. Their own internal cost workbook (which I have) shows their cost was actually about $27,682, and SSA Marine has confirmed in writing that the container never left the terminal for the</w:t>
      </w:r>
      <w:r>
        <w:t xml:space="preserve"> </w:t>
      </w:r>
      <w:r>
        <w:t xml:space="preserve">“</w:t>
      </w:r>
      <w:r>
        <w:t xml:space="preserve">intensive inspection</w:t>
      </w:r>
      <w:r>
        <w:t xml:space="preserve">”</w:t>
      </w:r>
      <w:r>
        <w:t xml:space="preserve"> </w:t>
      </w:r>
      <w:r>
        <w:t xml:space="preserve">DK kept invoking. CBP Seattle (CBPO Butler) opened an active investigation on April 29. I’m cooperating.</w:t>
      </w:r>
    </w:p>
    <w:p>
      <w:pPr>
        <w:pStyle w:val="BodyText"/>
      </w:pPr>
      <w:r>
        <w:t xml:space="preserve">The container is currently sitting at Portland Container in Oregon — they’re a friendly drayage party who won’t release to DK because of the dispute. I refuse to pay the inflated invoice.</w:t>
      </w:r>
    </w:p>
    <w:p>
      <w:pPr>
        <w:pStyle w:val="BodyText"/>
      </w:pPr>
      <w:r>
        <w:rPr>
          <w:b/>
        </w:rPr>
        <w:t xml:space="preserve">What I’m asking you to do, in priority order:</w:t>
      </w:r>
    </w:p>
    <w:p>
      <w:pPr>
        <w:numPr>
          <w:ilvl w:val="0"/>
          <w:numId w:val="1001"/>
        </w:numPr>
        <w:pStyle w:val="Compact"/>
      </w:pPr>
      <w:r>
        <w:rPr>
          <w:b/>
        </w:rPr>
        <w:t xml:space="preserve">Preservation / do-not-release letter to Portland Container</w:t>
      </w:r>
      <w:r>
        <w:t xml:space="preserve"> </w:t>
      </w:r>
      <w:r>
        <w:t xml:space="preserve">so they have legal cover to keep holding it. Their primary contact is Alison.</w:t>
      </w:r>
    </w:p>
    <w:p>
      <w:pPr>
        <w:numPr>
          <w:ilvl w:val="0"/>
          <w:numId w:val="1001"/>
        </w:numPr>
        <w:pStyle w:val="Compact"/>
      </w:pPr>
      <w:r>
        <w:rPr>
          <w:b/>
        </w:rPr>
        <w:t xml:space="preserve">Litigation hold letters</w:t>
      </w:r>
      <w:r>
        <w:t xml:space="preserve"> </w:t>
      </w:r>
      <w:r>
        <w:t xml:space="preserve">to all the named parties (DK entities, Great Way, OEC Group, Dahlen Foward Shipping Supply Chain (Shanghai) Co., Ltd., ICCB).</w:t>
      </w:r>
    </w:p>
    <w:p>
      <w:pPr>
        <w:numPr>
          <w:ilvl w:val="0"/>
          <w:numId w:val="1001"/>
        </w:numPr>
        <w:pStyle w:val="Compact"/>
      </w:pPr>
      <w:r>
        <w:rPr>
          <w:b/>
        </w:rPr>
        <w:t xml:space="preserve">Formal demand letter</w:t>
      </w:r>
      <w:r>
        <w:t xml:space="preserve"> </w:t>
      </w:r>
      <w:r>
        <w:t xml:space="preserve">to DK, Great Way, OEC, and Dahlen Foward — demanding immediate release of the container, refund of any sums extracted, reservation of rights. This replaces the pro se letter I sent on April 30.</w:t>
      </w:r>
    </w:p>
    <w:p>
      <w:pPr>
        <w:numPr>
          <w:ilvl w:val="0"/>
          <w:numId w:val="1001"/>
        </w:numPr>
        <w:pStyle w:val="Compact"/>
      </w:pPr>
      <w:r>
        <w:rPr>
          <w:b/>
        </w:rPr>
        <w:t xml:space="preserve">Federal Maritime Commission complaint</w:t>
      </w:r>
      <w:r>
        <w:t xml:space="preserve"> </w:t>
      </w:r>
      <w:r>
        <w:t xml:space="preserve">for OSRA detention/demurrage violations. Designed for exactly this scenario, no personal-jurisdiction issues, runs in parallel.</w:t>
      </w:r>
    </w:p>
    <w:p>
      <w:pPr>
        <w:numPr>
          <w:ilvl w:val="0"/>
          <w:numId w:val="1001"/>
        </w:numPr>
        <w:pStyle w:val="Compact"/>
      </w:pPr>
      <w:r>
        <w:t xml:space="preserve">Eyes on my response to CBPO Butler’s seven-question information request before I send it.</w:t>
      </w:r>
    </w:p>
    <w:p>
      <w:pPr>
        <w:numPr>
          <w:ilvl w:val="0"/>
          <w:numId w:val="1001"/>
        </w:numPr>
        <w:pStyle w:val="Compact"/>
      </w:pPr>
      <w:r>
        <w:t xml:space="preserve">Verified complaint + ex parte application for</w:t>
      </w:r>
      <w:r>
        <w:t xml:space="preserve"> </w:t>
      </w:r>
      <w:r>
        <w:rPr>
          <w:b/>
        </w:rPr>
        <w:t xml:space="preserve">writ of replevin</w:t>
      </w:r>
      <w:r>
        <w:t xml:space="preserve"> </w:t>
      </w:r>
      <w:r>
        <w:t xml:space="preserve">(or order to show cause for possession) in</w:t>
      </w:r>
      <w:r>
        <w:t xml:space="preserve"> </w:t>
      </w:r>
      <w:r>
        <w:rPr>
          <w:b/>
        </w:rPr>
        <w:t xml:space="preserve">W.D. Washington</w:t>
      </w:r>
      <w:r>
        <w:t xml:space="preserve">, naming DK / Great Way / OEC / Dahlen Foward as defendants and Portland Container as a nominal bailee only. Goal is a court-ordered release of the container.</w:t>
      </w:r>
    </w:p>
    <w:p>
      <w:pPr>
        <w:pStyle w:val="FirstParagraph"/>
      </w:pPr>
      <w:r>
        <w:rPr>
          <w:b/>
        </w:rPr>
        <w:t xml:space="preserve">Venue.</w:t>
      </w:r>
      <w:r>
        <w:t xml:space="preserve"> </w:t>
      </w:r>
      <w:r>
        <w:t xml:space="preserve">I’d recommend W.D. Washington over D. Utah on this one. Place of customs fraud, place of intended delivery (Kent, WA), all the SSA and CBP witnesses are there, and Portland Container is right across the river. PJ in Utah is workable but a 6-month fight before we get to the merits. Happy to defer to your read.</w:t>
      </w:r>
    </w:p>
    <w:p>
      <w:pPr>
        <w:pStyle w:val="BodyText"/>
      </w:pPr>
      <w:r>
        <w:rPr>
          <w:b/>
        </w:rPr>
        <w:t xml:space="preserve">A note on Portland Container.</w:t>
      </w:r>
      <w:r>
        <w:t xml:space="preserve"> </w:t>
      </w:r>
      <w:r>
        <w:t xml:space="preserve">Their contact Alison has been actively friendly and has been feeding me intel on the other parties. She’s a critical witness, not a target. We need the legal hold to bind them to a court order, but I don’t want to do anything that turns their counsel against me. They’re our best ally in the chain right now.</w:t>
      </w:r>
    </w:p>
    <w:p>
      <w:pPr>
        <w:pStyle w:val="BodyText"/>
      </w:pPr>
      <w:r>
        <w:rPr>
          <w:b/>
        </w:rPr>
        <w:t xml:space="preserve">Confidential lead.</w:t>
      </w:r>
      <w:r>
        <w:t xml:space="preserve"> </w:t>
      </w:r>
      <w:r>
        <w:t xml:space="preserve">A separate party in the industry has told me that DK has done this same playbook to other importers in 2026, and asked me not to disclose them. I’ve given you corroboration paths in §5G of the case file that don’t burn the source — FMC dockets, FMCSA records, PACER, etc. Worth a search before we plead.</w:t>
      </w:r>
    </w:p>
    <w:p>
      <w:pPr>
        <w:pStyle w:val="BodyText"/>
      </w:pPr>
      <w:r>
        <w:rPr>
          <w:b/>
        </w:rPr>
        <w:t xml:space="preserve">Key documents (in /Container on my desktop, sharing separately):</w:t>
      </w:r>
    </w:p>
    <w:p>
      <w:pPr>
        <w:numPr>
          <w:ilvl w:val="0"/>
          <w:numId w:val="1002"/>
        </w:numPr>
        <w:pStyle w:val="Compact"/>
      </w:pPr>
      <w:r>
        <w:t xml:space="preserve">Case File (CASE_FILE_SMCU1049407.docx) — full factual record, parties, timeline, financials, exhibits index</w:t>
      </w:r>
    </w:p>
    <w:p>
      <w:pPr>
        <w:numPr>
          <w:ilvl w:val="0"/>
          <w:numId w:val="1002"/>
        </w:numPr>
        <w:pStyle w:val="Compact"/>
      </w:pPr>
      <w:r>
        <w:t xml:space="preserve">Attorney Handoff Brief (Attorney_Handoff_Brief.docx) — the structured ask</w:t>
      </w:r>
    </w:p>
    <w:p>
      <w:pPr>
        <w:numPr>
          <w:ilvl w:val="0"/>
          <w:numId w:val="1002"/>
        </w:numPr>
        <w:pStyle w:val="Compact"/>
      </w:pPr>
      <w:r>
        <w:t xml:space="preserve">Customer Letter to Worldwide Distributors — what I plan to send my customer this week; would value your eyes on it</w:t>
      </w:r>
    </w:p>
    <w:p>
      <w:pPr>
        <w:numPr>
          <w:ilvl w:val="0"/>
          <w:numId w:val="1002"/>
        </w:numPr>
        <w:pStyle w:val="Compact"/>
      </w:pPr>
      <w:r>
        <w:t xml:space="preserve">Exhibits — DK’s $14,617 SSA payment receipt, DK’s internal</w:t>
      </w:r>
      <w:r>
        <w:t xml:space="preserve"> </w:t>
      </w:r>
      <w:r>
        <w:t xml:space="preserve">“</w:t>
      </w:r>
      <w:r>
        <w:t xml:space="preserve">Review the bill</w:t>
      </w:r>
      <w:r>
        <w:t xml:space="preserve">”</w:t>
      </w:r>
      <w:r>
        <w:t xml:space="preserve"> </w:t>
      </w:r>
      <w:r>
        <w:t xml:space="preserve">workbook, the OEC/Great Way $9,850 invoice, the ICCB POA email thread, the SSA Marine confirmation, the CBP Seattle 4/29 information request, and the full email thread with DK including their internal contradictions on May 4</w:t>
      </w:r>
    </w:p>
    <w:p>
      <w:pPr>
        <w:pStyle w:val="FirstParagraph"/>
      </w:pPr>
      <w:r>
        <w:rPr>
          <w:b/>
        </w:rPr>
        <w:t xml:space="preserve">Timing.</w:t>
      </w:r>
      <w:r>
        <w:t xml:space="preserve"> </w:t>
      </w:r>
      <w:r>
        <w:t xml:space="preserve">I want to move this week. Every day the container sits in Portland is another day these parties think their leverage holds. Can you do a working session in the next 48 hours?</w:t>
      </w:r>
    </w:p>
    <w:p>
      <w:pPr>
        <w:pStyle w:val="BodyText"/>
      </w:pPr>
      <w:r>
        <w:t xml:space="preserve">Calendly / phone — pick whatever works. 801.809.6000.</w:t>
      </w:r>
    </w:p>
    <w:p>
      <w:pPr>
        <w:pStyle w:val="BodyText"/>
      </w:pPr>
      <w:r>
        <w:t xml:space="preserve">Andrew</w:t>
      </w:r>
    </w:p>
    <w:p>
      <w:pPr>
        <w:pStyle w:val="BodyText"/>
      </w:pPr>
      <w:r>
        <w:t xml:space="preserve">—</w:t>
      </w:r>
      <w:r>
        <w:t xml:space="preserve"> </w:t>
      </w:r>
      <w:r>
        <w:t xml:space="preserve">Andrew Peterson</w:t>
      </w:r>
      <w:r>
        <w:t xml:space="preserve"> </w:t>
      </w:r>
      <w:r>
        <w:t xml:space="preserve">Owner, 801, LLC</w:t>
      </w:r>
      <w:r>
        <w:t xml:space="preserve"> </w:t>
      </w:r>
      <w:r>
        <w:t xml:space="preserve">andrew@801inc.com</w:t>
      </w:r>
      <w:r>
        <w:t xml:space="preserve"> </w:t>
      </w:r>
      <w:r>
        <w:t xml:space="preserve">801.809.6000</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mailto:andrew@801inc.com" TargetMode="External" /></Relationships>
</file>

<file path=word/_rels/footnotes.xml.rels><?xml version="1.0" encoding="UTF-8"?>
<Relationships xmlns="http://schemas.openxmlformats.org/package/2006/relationships"><Relationship Type="http://schemas.openxmlformats.org/officeDocument/2006/relationships/hyperlink" Id="rId21" Target="mailto:andrew@801inc.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2026-05-05T04:10:10Z</dcterms:created>
  <dcterms:modified xsi:type="dcterms:W3CDTF">2026-05-05T04:10:10Z</dcterms:modified>
</cp:coreProperties>
</file>

<file path=docProps/custom.xml><?xml version="1.0" encoding="utf-8"?>
<Properties xmlns="http://schemas.openxmlformats.org/officeDocument/2006/custom-properties" xmlns:vt="http://schemas.openxmlformats.org/officeDocument/2006/docPropsVTypes"/>
</file>