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20"/>
        <w:jc w:val="center"/>
      </w:pPr>
      <w:r>
        <w:rPr>
          <w:rFonts w:ascii="Arial" w:cs="Arial" w:eastAsia="Arial" w:hAnsi="Arial"/>
          <w:b/>
          <w:bCs/>
          <w:color w:val="1A1A2E"/>
          <w:sz w:val="56"/>
          <w:szCs w:val="56"/>
        </w:rPr>
        <w:t xml:space="preserve">NORDSHIELD</w:t>
      </w:r>
    </w:p>
    <w:p>
      <w:pPr>
        <w:spacing w:after="60"/>
        <w:jc w:val="center"/>
      </w:pPr>
      <w:r>
        <w:rPr>
          <w:rFonts w:ascii="Arial" w:cs="Arial" w:eastAsia="Arial" w:hAnsi="Arial"/>
          <w:color w:val="00B4C3"/>
          <w:sz w:val="36"/>
          <w:szCs w:val="36"/>
        </w:rPr>
        <w:t xml:space="preserve">Competitive Weakness Analysis</w:t>
      </w:r>
    </w:p>
    <w:p>
      <w:pPr>
        <w:pBdr>
          <w:bottom w:val="single" w:color="00B4C3" w:sz="8" w:space="8"/>
        </w:pBdr>
        <w:spacing w:after="360"/>
        <w:jc w:val="center"/>
      </w:pPr>
      <w:r>
        <w:rPr>
          <w:rFonts w:ascii="Arial" w:cs="Arial" w:eastAsia="Arial" w:hAnsi="Arial"/>
          <w:color w:val="666666"/>
          <w:sz w:val="22"/>
          <w:szCs w:val="22"/>
        </w:rPr>
        <w:t xml:space="preserve">Cross-Validated Intelligence from Three Independent Sources</w:t>
      </w:r>
    </w:p>
    <w:p>
      <w:pPr>
        <w:spacing w:before="600" w:after="600"/>
      </w:pPr>
    </w:p>
    <w:p>
      <w:pPr>
        <w:spacing w:after="60"/>
        <w:jc w:val="center"/>
      </w:pPr>
      <w:r>
        <w:rPr>
          <w:rFonts w:ascii="Arial" w:cs="Arial" w:eastAsia="Arial" w:hAnsi="Arial"/>
          <w:color w:val="1A1A2E"/>
          <w:sz w:val="24"/>
          <w:szCs w:val="24"/>
        </w:rPr>
        <w:t xml:space="preserve">Prepared for FUZE Biotech</w:t>
      </w:r>
    </w:p>
    <w:p>
      <w:pPr>
        <w:spacing w:after="60"/>
        <w:jc w:val="center"/>
      </w:pPr>
      <w:r>
        <w:rPr>
          <w:rFonts w:ascii="Arial" w:cs="Arial" w:eastAsia="Arial" w:hAnsi="Arial"/>
          <w:color w:val="666666"/>
          <w:sz w:val="22"/>
          <w:szCs w:val="22"/>
        </w:rPr>
        <w:t xml:space="preserve">March 2026</w:t>
      </w:r>
    </w:p>
    <w:p>
      <w:pPr>
        <w:jc w:val="center"/>
      </w:pPr>
      <w:r>
        <w:rPr>
          <w:rFonts w:ascii="Arial" w:cs="Arial" w:eastAsia="Arial" w:hAnsi="Arial"/>
          <w:b/>
          <w:bCs/>
          <w:color w:val="C0392B"/>
          <w:sz w:val="20"/>
          <w:szCs w:val="20"/>
        </w:rPr>
        <w:t xml:space="preserve">CONFIDENTIAL - Internal Use Only</w:t>
      </w:r>
    </w:p>
    <w:p>
      <w:r>
        <w:br w:type="page"/>
      </w:r>
    </w:p>
    <w:p>
      <w:pPr>
        <w:pBdr>
          <w:bottom w:val="single" w:color="00B4C3" w:sz="6" w:space="4"/>
        </w:pBdr>
        <w:spacing w:before="360" w:after="180"/>
      </w:pPr>
      <w:r>
        <w:rPr>
          <w:rFonts w:ascii="Arial" w:cs="Arial" w:eastAsia="Arial" w:hAnsi="Arial"/>
          <w:b/>
          <w:bCs/>
          <w:color w:val="1A1A2E"/>
          <w:sz w:val="28"/>
          <w:szCs w:val="28"/>
        </w:rPr>
        <w:t xml:space="preserve">Executive Summary</w:t>
      </w:r>
    </w:p>
    <w:p>
      <w:pPr>
        <w:spacing w:after="120"/>
      </w:pPr>
      <w:r>
        <w:rPr>
          <w:rFonts w:ascii="Arial" w:cs="Arial" w:eastAsia="Arial" w:hAnsi="Arial"/>
          <w:sz w:val="22"/>
          <w:szCs w:val="22"/>
        </w:rPr>
        <w:t xml:space="preserve">Nordic BioTech Group Oy (branded as NordShield) is a Finnish startup offering bio-based antimicrobial textile treatments. After cross-referencing intelligence from three independent research sources, a clear picture emerges: NordShield has built credible sustainability certifications and an interesting bio-based story, but faces </w:t>
      </w:r>
      <w:r>
        <w:rPr>
          <w:rFonts w:ascii="Arial" w:cs="Arial" w:eastAsia="Arial" w:hAnsi="Arial"/>
          <w:b/>
          <w:bCs/>
          <w:color w:val="C0392B"/>
          <w:sz w:val="22"/>
          <w:szCs w:val="22"/>
        </w:rPr>
        <w:t xml:space="preserve">fundamental weaknesses in durability, scalability, financial viability, and regulatory positioning</w:t>
      </w:r>
      <w:r>
        <w:rPr>
          <w:rFonts w:ascii="Arial" w:cs="Arial" w:eastAsia="Arial" w:hAnsi="Arial"/>
          <w:sz w:val="22"/>
          <w:szCs w:val="22"/>
        </w:rPr>
        <w:t xml:space="preserve"> that FUZE can exploit in every competitive conversation.</w:t>
      </w:r>
    </w:p>
    <w:p>
      <w:pPr>
        <w:spacing w:after="120"/>
      </w:pPr>
      <w:r>
        <w:rPr>
          <w:rFonts w:ascii="Arial" w:cs="Arial" w:eastAsia="Arial" w:hAnsi="Arial"/>
          <w:b/>
          <w:bCs/>
          <w:sz w:val="22"/>
          <w:szCs w:val="22"/>
        </w:rPr>
        <w:t xml:space="preserve">The bottom line: </w:t>
      </w:r>
      <w:r>
        <w:rPr>
          <w:rFonts w:ascii="Arial" w:cs="Arial" w:eastAsia="Arial" w:hAnsi="Arial"/>
          <w:sz w:val="22"/>
          <w:szCs w:val="22"/>
        </w:rPr>
        <w:t xml:space="preserve">NordShield generated just EUR 107,000 in revenue in 2024 while losing EUR 2.09 million. They are trying to push three separate products for three different substrate types, with a 30-wash durability limit, using a team of 7-13 people, on EUR 4.2 million in total funding. This is a company fighting for survival, not market dominance.</w:t>
      </w:r>
    </w:p>
    <w:p>
      <w:r>
        <w:br w:type="page"/>
      </w:r>
    </w:p>
    <w:p>
      <w:pPr>
        <w:pBdr>
          <w:bottom w:val="single" w:color="00B4C3" w:sz="6" w:space="4"/>
        </w:pBdr>
        <w:spacing w:before="360" w:after="180"/>
      </w:pPr>
      <w:r>
        <w:rPr>
          <w:rFonts w:ascii="Arial" w:cs="Arial" w:eastAsia="Arial" w:hAnsi="Arial"/>
          <w:b/>
          <w:bCs/>
          <w:color w:val="1A1A2E"/>
          <w:sz w:val="28"/>
          <w:szCs w:val="28"/>
        </w:rPr>
        <w:t xml:space="preserve">1. Financial Reality: A Company Burning Cash</w:t>
      </w:r>
    </w:p>
    <w:p>
      <w:pPr>
        <w:spacing w:after="120"/>
      </w:pPr>
      <w:r>
        <w:rPr>
          <w:rFonts w:ascii="Arial" w:cs="Arial" w:eastAsia="Arial" w:hAnsi="Arial"/>
          <w:sz w:val="22"/>
          <w:szCs w:val="22"/>
        </w:rPr>
        <w:t xml:space="preserve">The most damning finding from all three sources is NordShield's financial position. Finnish corporate filings reveal a company that is pre-revenue and burning through its limited funding at an alarming rate.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NordShield (2024)</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Annual Revenue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EUR 107,000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Pre-revenue. Cannot sustain R&amp;D or scale.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Loss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EUR 2.09 MILLION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Burning ~20x revenue annually.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Funding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EUR 4.2M (~$9.6M)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Tiny war chest. One bad year from insolvency.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support global sales, R&amp;D, and production.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Lines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 (substrate-dependent)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Fragmented approach. Complexity without scale.</w:t>
            </w:r>
          </w:p>
        </w:tc>
      </w:tr>
    </w:tbl>
    <w:p>
      <w:pPr>
        <w:spacing w:before="120" w:after="120"/>
      </w:pPr>
    </w:p>
    <w:p>
      <w:pPr>
        <w:spacing w:before="240" w:after="120"/>
      </w:pPr>
      <w:r>
        <w:rPr>
          <w:rFonts w:ascii="Arial" w:cs="Arial" w:eastAsia="Arial" w:hAnsi="Arial"/>
          <w:b/>
          <w:bCs/>
          <w:color w:val="00B4C3"/>
          <w:sz w:val="24"/>
          <w:szCs w:val="24"/>
        </w:rPr>
        <w:t xml:space="preserve">What This Means for Their Customers</w:t>
      </w:r>
    </w:p>
    <w:p>
      <w:pPr>
        <w:pStyle w:val="ListParagraph"/>
        <w:numPr>
          <w:ilvl w:val="0"/>
          <w:numId w:val="2"/>
        </w:numPr>
        <w:spacing w:after="80"/>
      </w:pPr>
      <w:r>
        <w:rPr>
          <w:rFonts w:ascii="Arial" w:cs="Arial" w:eastAsia="Arial" w:hAnsi="Arial"/>
          <w:sz w:val="22"/>
          <w:szCs w:val="22"/>
        </w:rPr>
        <w:t xml:space="preserve">Supply chain risk: A company losing 20x its revenue annually cannot guarantee long-term supply continuity.</w:t>
      </w:r>
    </w:p>
    <w:p>
      <w:pPr>
        <w:pStyle w:val="ListParagraph"/>
        <w:numPr>
          <w:ilvl w:val="0"/>
          <w:numId w:val="2"/>
        </w:numPr>
        <w:spacing w:after="80"/>
      </w:pPr>
      <w:r>
        <w:rPr>
          <w:rFonts w:ascii="Arial" w:cs="Arial" w:eastAsia="Arial" w:hAnsi="Arial"/>
          <w:sz w:val="22"/>
          <w:szCs w:val="22"/>
        </w:rPr>
        <w:t xml:space="preserve">R&amp;D limitations: With 7-13 employees, they cannot simultaneously invest in product improvement, regulatory compliance, customer support, and market expansion.</w:t>
      </w:r>
    </w:p>
    <w:p>
      <w:pPr>
        <w:pStyle w:val="ListParagraph"/>
        <w:numPr>
          <w:ilvl w:val="0"/>
          <w:numId w:val="2"/>
        </w:numPr>
        <w:spacing w:after="80"/>
      </w:pPr>
      <w:r>
        <w:rPr>
          <w:rFonts w:ascii="Arial" w:cs="Arial" w:eastAsia="Arial" w:hAnsi="Arial"/>
          <w:sz w:val="22"/>
          <w:szCs w:val="22"/>
        </w:rPr>
        <w:t xml:space="preserve">Pricing pressure: They likely need to undercut on price to win deals, but also need margin to survive. This is an unsustainable tension.</w:t>
      </w:r>
    </w:p>
    <w:p>
      <w:pPr>
        <w:pStyle w:val="ListParagraph"/>
        <w:numPr>
          <w:ilvl w:val="0"/>
          <w:numId w:val="2"/>
        </w:numPr>
        <w:spacing w:after="80"/>
      </w:pPr>
      <w:r>
        <w:rPr>
          <w:rFonts w:ascii="Arial" w:cs="Arial" w:eastAsia="Arial" w:hAnsi="Arial"/>
          <w:sz w:val="22"/>
          <w:szCs w:val="22"/>
        </w:rPr>
        <w:t xml:space="preserve">Partnership fragility: If their primary investors (Swedbank Finland, Transmeri Group) lose patience, the entire operation could fold.</w:t>
      </w:r>
    </w:p>
    <w:p>
      <w:pPr>
        <w:pStyle w:val="ListParagraph"/>
        <w:numPr>
          <w:ilvl w:val="0"/>
          <w:numId w:val="2"/>
        </w:numPr>
        <w:spacing w:after="80"/>
      </w:pPr>
      <w:r>
        <w:rPr>
          <w:rFonts w:ascii="Arial" w:cs="Arial" w:eastAsia="Arial" w:hAnsi="Arial"/>
          <w:color w:val="C0392B"/>
          <w:sz w:val="22"/>
          <w:szCs w:val="22"/>
        </w:rPr>
        <w:t xml:space="preserve">Key question for their customers: What is your contingency plan if NordShield cannot fulfill orders or goes under?</w:t>
      </w:r>
    </w:p>
    <w:p>
      <w:r>
        <w:br w:type="page"/>
      </w:r>
    </w:p>
    <w:p>
      <w:pPr>
        <w:pBdr>
          <w:bottom w:val="single" w:color="00B4C3" w:sz="6" w:space="4"/>
        </w:pBdr>
        <w:spacing w:before="360" w:after="180"/>
      </w:pPr>
      <w:r>
        <w:rPr>
          <w:rFonts w:ascii="Arial" w:cs="Arial" w:eastAsia="Arial" w:hAnsi="Arial"/>
          <w:b/>
          <w:bCs/>
          <w:color w:val="1A1A2E"/>
          <w:sz w:val="28"/>
          <w:szCs w:val="28"/>
        </w:rPr>
        <w:t xml:space="preserve">2. The Three-Product Substrate Problem</w:t>
      </w:r>
    </w:p>
    <w:p>
      <w:pPr>
        <w:spacing w:after="120"/>
      </w:pPr>
      <w:r>
        <w:rPr>
          <w:rFonts w:ascii="Arial" w:cs="Arial" w:eastAsia="Arial" w:hAnsi="Arial"/>
          <w:sz w:val="22"/>
          <w:szCs w:val="22"/>
        </w:rPr>
        <w:t xml:space="preserve">This is the </w:t>
      </w:r>
      <w:r>
        <w:rPr>
          <w:rFonts w:ascii="Arial" w:cs="Arial" w:eastAsia="Arial" w:hAnsi="Arial"/>
          <w:b/>
          <w:bCs/>
          <w:color w:val="C0392B"/>
          <w:sz w:val="22"/>
          <w:szCs w:val="22"/>
        </w:rPr>
        <w:t xml:space="preserve">killer weakness</w:t>
      </w:r>
      <w:r>
        <w:rPr>
          <w:rFonts w:ascii="Arial" w:cs="Arial" w:eastAsia="Arial" w:hAnsi="Arial"/>
          <w:sz w:val="22"/>
          <w:szCs w:val="22"/>
        </w:rPr>
        <w:t xml:space="preserve">. NordShield doesn't have ONE antimicrobial technology. They have THREE separate products, each limited to specific substrates: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Product</w:t>
            </w:r>
          </w:p>
        </w:tc>
        <w:tc>
          <w:tcPr>
            <w:tcW w:type="dxa" w:w="2496"/>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Active Ingredient</w:t>
            </w:r>
          </w:p>
        </w:tc>
        <w:tc>
          <w:tcPr>
            <w:tcW w:type="dxa" w:w="2496"/>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Substrate Limitation</w:t>
            </w:r>
          </w:p>
        </w:tc>
        <w:tc>
          <w:tcPr>
            <w:tcW w:type="dxa" w:w="2496"/>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Key Weakness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CiTex</w:t>
            </w:r>
          </w:p>
        </w:tc>
        <w:tc>
          <w:tcPr>
            <w:tcW w:type="dxa" w:w="249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8% citric acid</w:t>
            </w:r>
          </w:p>
        </w:tc>
        <w:tc>
          <w:tcPr>
            <w:tcW w:type="dxa" w:w="249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Synthetics only</w:t>
            </w:r>
          </w:p>
        </w:tc>
        <w:tc>
          <w:tcPr>
            <w:tcW w:type="dxa" w:w="249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Common food additive. EPA-registered only as material preservative.</w:t>
            </w:r>
          </w:p>
        </w:tc>
      </w:tr>
      <w:tr>
        <w:tc>
          <w:tcPr>
            <w:tcW w:type="dxa" w:w="1872"/>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BioLayr</w:t>
            </w:r>
          </w:p>
        </w:tc>
        <w:tc>
          <w:tcPr>
            <w:tcW w:type="dxa" w:w="249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Wood extractives (resin acid)</w:t>
            </w:r>
          </w:p>
        </w:tc>
        <w:tc>
          <w:tcPr>
            <w:tcW w:type="dxa" w:w="249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Claims all textiles</w:t>
            </w:r>
          </w:p>
        </w:tc>
        <w:tc>
          <w:tcPr>
            <w:tcW w:type="dxa" w:w="249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No EPA registration. Bacteriostatic only. Regulatory-fragile.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Crisp</w:t>
            </w:r>
          </w:p>
        </w:tc>
        <w:tc>
          <w:tcPr>
            <w:tcW w:type="dxa" w:w="249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Wood-based bio-extract</w:t>
            </w:r>
          </w:p>
        </w:tc>
        <w:tc>
          <w:tcPr>
            <w:tcW w:type="dxa" w:w="249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Cellulose-rich fibers ONLY</w:t>
            </w:r>
          </w:p>
        </w:tc>
        <w:tc>
          <w:tcPr>
            <w:tcW w:type="dxa" w:w="249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8"/>
                <w:szCs w:val="18"/>
              </w:rPr>
              <w:t xml:space="preserve">Useless for polyester, nylon, synthetic blends.</w:t>
            </w:r>
          </w:p>
        </w:tc>
      </w:tr>
    </w:tbl>
    <w:p>
      <w:pPr>
        <w:spacing w:before="120" w:after="120"/>
      </w:pPr>
    </w:p>
    <w:p>
      <w:pPr>
        <w:spacing w:before="240" w:after="120"/>
      </w:pPr>
      <w:r>
        <w:rPr>
          <w:rFonts w:ascii="Arial" w:cs="Arial" w:eastAsia="Arial" w:hAnsi="Arial"/>
          <w:b/>
          <w:bCs/>
          <w:color w:val="00B4C3"/>
          <w:sz w:val="24"/>
          <w:szCs w:val="24"/>
        </w:rPr>
        <w:t xml:space="preserve">Why Three Products Is a Killer</w:t>
      </w:r>
    </w:p>
    <w:p>
      <w:pPr>
        <w:pStyle w:val="ListParagraph"/>
        <w:numPr>
          <w:ilvl w:val="0"/>
          <w:numId w:val="2"/>
        </w:numPr>
        <w:spacing w:after="80"/>
      </w:pPr>
      <w:r>
        <w:rPr>
          <w:rFonts w:ascii="Arial" w:cs="Arial" w:eastAsia="Arial" w:hAnsi="Arial"/>
          <w:sz w:val="22"/>
          <w:szCs w:val="22"/>
        </w:rPr>
        <w:t xml:space="preserve">Complexity without scale: Every customer conversation requires understanding which of three products applies to their specific fabric. A 7-person company cannot provide specialized technical support for three distinct chemistries.</w:t>
      </w:r>
    </w:p>
    <w:p>
      <w:pPr>
        <w:pStyle w:val="ListParagraph"/>
        <w:numPr>
          <w:ilvl w:val="0"/>
          <w:numId w:val="2"/>
        </w:numPr>
        <w:spacing w:after="80"/>
      </w:pPr>
      <w:r>
        <w:rPr>
          <w:rFonts w:ascii="Arial" w:cs="Arial" w:eastAsia="Arial" w:hAnsi="Arial"/>
          <w:sz w:val="22"/>
          <w:szCs w:val="22"/>
        </w:rPr>
        <w:t xml:space="preserve">Inventory and logistics: Three products means three supply chains, three sets of formulations, three production processes. This fragments an already tiny operation.</w:t>
      </w:r>
    </w:p>
    <w:p>
      <w:pPr>
        <w:pStyle w:val="ListParagraph"/>
        <w:numPr>
          <w:ilvl w:val="0"/>
          <w:numId w:val="2"/>
        </w:numPr>
        <w:spacing w:after="80"/>
      </w:pPr>
      <w:r>
        <w:rPr>
          <w:rFonts w:ascii="Arial" w:cs="Arial" w:eastAsia="Arial" w:hAnsi="Arial"/>
          <w:sz w:val="22"/>
          <w:szCs w:val="22"/>
        </w:rPr>
        <w:t xml:space="preserve">Mixed-substrate fabrics: Modern performance textiles are often blends (polyester/cotton, nylon/spandex). NordShield has no single solution for blended fabrics. CiTex targets synthetics, Crisp only works on cellulose. What happens with a 60/40 poly-cotton blend?</w:t>
      </w:r>
    </w:p>
    <w:p>
      <w:pPr>
        <w:pStyle w:val="ListParagraph"/>
        <w:numPr>
          <w:ilvl w:val="0"/>
          <w:numId w:val="2"/>
        </w:numPr>
        <w:spacing w:after="80"/>
      </w:pPr>
      <w:r>
        <w:rPr>
          <w:rFonts w:ascii="Arial" w:cs="Arial" w:eastAsia="Arial" w:hAnsi="Arial"/>
          <w:sz w:val="22"/>
          <w:szCs w:val="22"/>
        </w:rPr>
        <w:t xml:space="preserve">Customer confusion: Which product do I need? Can I use one product across my entire line? The answer is no, and that creates friction in every sales conversation.</w:t>
      </w:r>
    </w:p>
    <w:p>
      <w:pPr>
        <w:spacing w:before="60" w:after="60"/>
      </w:pPr>
    </w:p>
    <w:p>
      <w:pPr>
        <w:spacing w:after="120"/>
      </w:pPr>
      <w:r>
        <w:rPr>
          <w:rFonts w:ascii="Arial" w:cs="Arial" w:eastAsia="Arial" w:hAnsi="Arial"/>
          <w:b/>
          <w:bCs/>
          <w:color w:val="00B4C3"/>
          <w:sz w:val="22"/>
          <w:szCs w:val="22"/>
        </w:rPr>
        <w:t xml:space="preserve">FUZE Position: </w:t>
      </w:r>
      <w:r>
        <w:rPr>
          <w:rFonts w:ascii="Arial" w:cs="Arial" w:eastAsia="Arial" w:hAnsi="Arial"/>
          <w:sz w:val="22"/>
          <w:szCs w:val="22"/>
        </w:rPr>
        <w:t xml:space="preserve">One technology. Every substrate. Polyester, cotton, nylon, blends, non-wovens, foam, leather, composites. One conversation, one solution, one purchase order.</w:t>
      </w:r>
    </w:p>
    <w:p>
      <w:r>
        <w:br w:type="page"/>
      </w:r>
    </w:p>
    <w:p>
      <w:pPr>
        <w:pBdr>
          <w:bottom w:val="single" w:color="00B4C3" w:sz="6" w:space="4"/>
        </w:pBdr>
        <w:spacing w:before="360" w:after="180"/>
      </w:pPr>
      <w:r>
        <w:rPr>
          <w:rFonts w:ascii="Arial" w:cs="Arial" w:eastAsia="Arial" w:hAnsi="Arial"/>
          <w:b/>
          <w:bCs/>
          <w:color w:val="1A1A2E"/>
          <w:sz w:val="28"/>
          <w:szCs w:val="28"/>
        </w:rPr>
        <w:t xml:space="preserve">3. Durability: 30 Washes Is Not Permanence</w:t>
      </w:r>
    </w:p>
    <w:p>
      <w:pPr>
        <w:spacing w:after="120"/>
      </w:pPr>
      <w:r>
        <w:rPr>
          <w:rFonts w:ascii="Arial" w:cs="Arial" w:eastAsia="Arial" w:hAnsi="Arial"/>
          <w:sz w:val="22"/>
          <w:szCs w:val="22"/>
        </w:rPr>
        <w:t xml:space="preserve">All three sources independently confirmed this as NordShield's fundamental technical limitation. Their treatments are surface coatings that degrade with washing.</w:t>
      </w:r>
    </w:p>
    <w:p>
      <w:pPr>
        <w:spacing w:before="60" w:after="60"/>
      </w:pPr>
    </w:p>
    <w:p>
      <w:pPr>
        <w:spacing w:before="240" w:after="120"/>
      </w:pPr>
      <w:r>
        <w:rPr>
          <w:rFonts w:ascii="Arial" w:cs="Arial" w:eastAsia="Arial" w:hAnsi="Arial"/>
          <w:b/>
          <w:bCs/>
          <w:color w:val="00B4C3"/>
          <w:sz w:val="24"/>
          <w:szCs w:val="24"/>
        </w:rPr>
        <w:t xml:space="preserve">The Science (Cross-Validated)</w:t>
      </w:r>
    </w:p>
    <w:p>
      <w:pPr>
        <w:pStyle w:val="ListParagraph"/>
        <w:numPr>
          <w:ilvl w:val="0"/>
          <w:numId w:val="2"/>
        </w:numPr>
        <w:spacing w:after="80"/>
      </w:pPr>
      <w:r>
        <w:rPr>
          <w:rFonts w:ascii="Arial" w:cs="Arial" w:eastAsia="Arial" w:hAnsi="Arial"/>
          <w:sz w:val="22"/>
          <w:szCs w:val="22"/>
        </w:rPr>
        <w:t xml:space="preserve">CiTex relies on citric acid crosslinks to fiber via ester linkages. These ester bonds hydrolyze over repeated wash cycles. Published research (PubMed PMC3046493) shows effectiveness drops significantly after just 10 wash cycles on synthetics.</w:t>
      </w:r>
    </w:p>
    <w:p>
      <w:pPr>
        <w:pStyle w:val="ListParagraph"/>
        <w:numPr>
          <w:ilvl w:val="0"/>
          <w:numId w:val="2"/>
        </w:numPr>
        <w:spacing w:after="80"/>
      </w:pPr>
      <w:r>
        <w:rPr>
          <w:rFonts w:ascii="Arial" w:cs="Arial" w:eastAsia="Arial" w:hAnsi="Arial"/>
          <w:color w:val="C0392B"/>
          <w:sz w:val="22"/>
          <w:szCs w:val="22"/>
        </w:rPr>
        <w:t xml:space="preserve">The 30-wash claim likely applies to only one product under ideal conditions. Independent testing shows citric acid treatments are largely eliminated after 10 washes on synthetic substrates. The 30-wash figure is a best-case marketing number, not a real-world performance guarantee.</w:t>
      </w:r>
    </w:p>
    <w:p>
      <w:pPr>
        <w:pStyle w:val="ListParagraph"/>
        <w:numPr>
          <w:ilvl w:val="0"/>
          <w:numId w:val="2"/>
        </w:numPr>
        <w:spacing w:after="80"/>
      </w:pPr>
      <w:r>
        <w:rPr>
          <w:rFonts w:ascii="Arial" w:cs="Arial" w:eastAsia="Arial" w:hAnsi="Arial"/>
          <w:sz w:val="22"/>
          <w:szCs w:val="22"/>
        </w:rPr>
        <w:t xml:space="preserve">Cross-validated: Academic studies on cotton treated with citric acid for wrinkle resistance show decline in properties after multiple washes due to ester bond breakdown.</w:t>
      </w:r>
    </w:p>
    <w:p>
      <w:pPr>
        <w:pStyle w:val="ListParagraph"/>
        <w:numPr>
          <w:ilvl w:val="0"/>
          <w:numId w:val="2"/>
        </w:numPr>
        <w:spacing w:after="80"/>
      </w:pPr>
      <w:r>
        <w:rPr>
          <w:rFonts w:ascii="Arial" w:cs="Arial" w:eastAsia="Arial" w:hAnsi="Arial"/>
          <w:sz w:val="22"/>
          <w:szCs w:val="22"/>
        </w:rPr>
        <w:t xml:space="preserve">NordShield claims 30 washes and markets this as covering the average garment lifetime. This is marketing spin on a fundamental chemistry limitation.</w:t>
      </w:r>
    </w:p>
    <w:p>
      <w:pPr>
        <w:pStyle w:val="ListParagraph"/>
        <w:numPr>
          <w:ilvl w:val="0"/>
          <w:numId w:val="2"/>
        </w:numPr>
        <w:spacing w:after="80"/>
      </w:pPr>
      <w:r>
        <w:rPr>
          <w:rFonts w:ascii="Arial" w:cs="Arial" w:eastAsia="Arial" w:hAnsi="Arial"/>
          <w:sz w:val="22"/>
          <w:szCs w:val="22"/>
        </w:rPr>
        <w:t xml:space="preserve">BioLayr (wood resin coating) faces similar degradation. A physical surface layer will abrade and wash away over time.</w:t>
      </w:r>
    </w:p>
    <w:p>
      <w:pPr>
        <w:spacing w:before="60" w:after="60"/>
      </w:pPr>
    </w:p>
    <w:p>
      <w:pPr>
        <w:spacing w:before="240" w:after="120"/>
      </w:pPr>
      <w:r>
        <w:rPr>
          <w:rFonts w:ascii="Arial" w:cs="Arial" w:eastAsia="Arial" w:hAnsi="Arial"/>
          <w:b/>
          <w:bCs/>
          <w:color w:val="00B4C3"/>
          <w:sz w:val="24"/>
          <w:szCs w:val="24"/>
        </w:rPr>
        <w:t xml:space="preserve">Where 30 Washes Fails</w:t>
      </w:r>
    </w:p>
    <w:p>
      <w:pPr>
        <w:pStyle w:val="ListParagraph"/>
        <w:numPr>
          <w:ilvl w:val="0"/>
          <w:numId w:val="2"/>
        </w:numPr>
        <w:spacing w:after="80"/>
      </w:pPr>
      <w:r>
        <w:rPr>
          <w:rFonts w:ascii="Arial" w:cs="Arial" w:eastAsia="Arial" w:hAnsi="Arial"/>
          <w:sz w:val="22"/>
          <w:szCs w:val="22"/>
        </w:rPr>
        <w:t xml:space="preserve">Performance sportswear: Athletes wash gear after every use. 30 washes = 1-2 months.</w:t>
      </w:r>
    </w:p>
    <w:p>
      <w:pPr>
        <w:pStyle w:val="ListParagraph"/>
        <w:numPr>
          <w:ilvl w:val="0"/>
          <w:numId w:val="2"/>
        </w:numPr>
        <w:spacing w:after="80"/>
      </w:pPr>
      <w:r>
        <w:rPr>
          <w:rFonts w:ascii="Arial" w:cs="Arial" w:eastAsia="Arial" w:hAnsi="Arial"/>
          <w:sz w:val="22"/>
          <w:szCs w:val="22"/>
        </w:rPr>
        <w:t xml:space="preserve">Medical textiles and scrubs: Washed daily or more. 30 washes = weeks.</w:t>
      </w:r>
    </w:p>
    <w:p>
      <w:pPr>
        <w:pStyle w:val="ListParagraph"/>
        <w:numPr>
          <w:ilvl w:val="0"/>
          <w:numId w:val="2"/>
        </w:numPr>
        <w:spacing w:after="80"/>
      </w:pPr>
      <w:r>
        <w:rPr>
          <w:rFonts w:ascii="Arial" w:cs="Arial" w:eastAsia="Arial" w:hAnsi="Arial"/>
          <w:sz w:val="22"/>
          <w:szCs w:val="22"/>
        </w:rPr>
        <w:t xml:space="preserve">Workwear and uniforms: Industrial laundering is harsher than consumer washing.</w:t>
      </w:r>
    </w:p>
    <w:p>
      <w:pPr>
        <w:pStyle w:val="ListParagraph"/>
        <w:numPr>
          <w:ilvl w:val="0"/>
          <w:numId w:val="2"/>
        </w:numPr>
        <w:spacing w:after="80"/>
      </w:pPr>
      <w:r>
        <w:rPr>
          <w:rFonts w:ascii="Arial" w:cs="Arial" w:eastAsia="Arial" w:hAnsi="Arial"/>
          <w:sz w:val="22"/>
          <w:szCs w:val="22"/>
        </w:rPr>
        <w:t xml:space="preserve">Military and tactical gear: Must perform for years under extreme conditions.</w:t>
      </w:r>
    </w:p>
    <w:p>
      <w:pPr>
        <w:pStyle w:val="ListParagraph"/>
        <w:numPr>
          <w:ilvl w:val="0"/>
          <w:numId w:val="2"/>
        </w:numPr>
        <w:spacing w:after="80"/>
      </w:pPr>
      <w:r>
        <w:rPr>
          <w:rFonts w:ascii="Arial" w:cs="Arial" w:eastAsia="Arial" w:hAnsi="Arial"/>
          <w:sz w:val="22"/>
          <w:szCs w:val="22"/>
        </w:rPr>
        <w:t xml:space="preserve">Hospitality (sheets, towels): Commercial laundry cycles far exceed 30.</w:t>
      </w:r>
    </w:p>
    <w:p>
      <w:pPr>
        <w:spacing w:before="60" w:after="60"/>
      </w:pPr>
    </w:p>
    <w:p>
      <w:pPr>
        <w:pStyle w:val="ListParagraph"/>
        <w:numPr>
          <w:ilvl w:val="0"/>
          <w:numId w:val="2"/>
        </w:numPr>
        <w:spacing w:after="80"/>
      </w:pPr>
      <w:r>
        <w:rPr>
          <w:rFonts w:ascii="Arial" w:cs="Arial" w:eastAsia="Arial" w:hAnsi="Arial"/>
          <w:color w:val="C0392B"/>
          <w:sz w:val="22"/>
          <w:szCs w:val="22"/>
        </w:rPr>
        <w:t xml:space="preserve">The question their customers should be asking: What happens at wash 31? Wash 50? Wash 100?</w:t>
      </w:r>
    </w:p>
    <w:p>
      <w:pPr>
        <w:spacing w:before="60" w:after="60"/>
      </w:pPr>
    </w:p>
    <w:p>
      <w:pPr>
        <w:spacing w:after="120"/>
      </w:pPr>
      <w:r>
        <w:rPr>
          <w:rFonts w:ascii="Arial" w:cs="Arial" w:eastAsia="Arial" w:hAnsi="Arial"/>
          <w:b/>
          <w:bCs/>
          <w:color w:val="00B4C3"/>
          <w:sz w:val="22"/>
          <w:szCs w:val="22"/>
        </w:rPr>
        <w:t xml:space="preserve">FUZE Position: </w:t>
      </w:r>
      <w:r>
        <w:rPr>
          <w:rFonts w:ascii="Arial" w:cs="Arial" w:eastAsia="Arial" w:hAnsi="Arial"/>
          <w:sz w:val="22"/>
          <w:szCs w:val="22"/>
        </w:rPr>
        <w:t xml:space="preserve">FUZE high density allotrope meta-material technology is embedded at the molecular level, not surface-coated. ICP-OES testing validates that active content remains consistent through the entire life of the garment. Not 30 washes. Forever.</w:t>
      </w:r>
    </w:p>
    <w:p>
      <w:r>
        <w:br w:type="page"/>
      </w:r>
    </w:p>
    <w:p>
      <w:pPr>
        <w:pBdr>
          <w:bottom w:val="single" w:color="00B4C3" w:sz="6" w:space="4"/>
        </w:pBdr>
        <w:spacing w:before="360" w:after="180"/>
      </w:pPr>
      <w:r>
        <w:rPr>
          <w:rFonts w:ascii="Arial" w:cs="Arial" w:eastAsia="Arial" w:hAnsi="Arial"/>
          <w:b/>
          <w:bCs/>
          <w:color w:val="1A1A2E"/>
          <w:sz w:val="28"/>
          <w:szCs w:val="28"/>
        </w:rPr>
        <w:t xml:space="preserve">4. Bacteriostatic vs. Bactericidal: The Fundamental Science Gap</w:t>
      </w:r>
    </w:p>
    <w:p>
      <w:pPr>
        <w:spacing w:after="120"/>
      </w:pPr>
      <w:r>
        <w:rPr>
          <w:rFonts w:ascii="Arial" w:cs="Arial" w:eastAsia="Arial" w:hAnsi="Arial"/>
          <w:sz w:val="22"/>
          <w:szCs w:val="22"/>
        </w:rPr>
        <w:t xml:space="preserve">NordShield's flagship BioLayr product claims a 'physical mode of action' that is 'non-biocidal.' All three sources flagged this as a significant competitive weakness.</w:t>
      </w:r>
    </w:p>
    <w:p>
      <w:pPr>
        <w:spacing w:before="60" w:after="60"/>
      </w:pPr>
    </w:p>
    <w:p>
      <w:pPr>
        <w:spacing w:before="240" w:after="120"/>
      </w:pPr>
      <w:r>
        <w:rPr>
          <w:rFonts w:ascii="Arial" w:cs="Arial" w:eastAsia="Arial" w:hAnsi="Arial"/>
          <w:b/>
          <w:bCs/>
          <w:color w:val="00B4C3"/>
          <w:sz w:val="24"/>
          <w:szCs w:val="24"/>
        </w:rPr>
        <w:t xml:space="preserve">What 'Non-Biocidal Antimicrobial' Actually Means</w:t>
      </w:r>
    </w:p>
    <w:p>
      <w:pPr>
        <w:pStyle w:val="ListParagraph"/>
        <w:numPr>
          <w:ilvl w:val="0"/>
          <w:numId w:val="2"/>
        </w:numPr>
        <w:spacing w:after="80"/>
      </w:pPr>
      <w:r>
        <w:rPr>
          <w:rFonts w:ascii="Arial" w:cs="Arial" w:eastAsia="Arial" w:hAnsi="Arial"/>
          <w:sz w:val="22"/>
          <w:szCs w:val="22"/>
        </w:rPr>
        <w:t xml:space="preserve">Bacteriostatic: Slows or inhibits bacterial growth. Bacteria remain alive on the surface.</w:t>
      </w:r>
    </w:p>
    <w:p>
      <w:pPr>
        <w:pStyle w:val="ListParagraph"/>
        <w:numPr>
          <w:ilvl w:val="0"/>
          <w:numId w:val="2"/>
        </w:numPr>
        <w:spacing w:after="80"/>
      </w:pPr>
      <w:r>
        <w:rPr>
          <w:rFonts w:ascii="Arial" w:cs="Arial" w:eastAsia="Arial" w:hAnsi="Arial"/>
          <w:sz w:val="22"/>
          <w:szCs w:val="22"/>
        </w:rPr>
        <w:t xml:space="preserve">Bactericidal: Kills bacteria on contact. Active destruction of microbial cells.</w:t>
      </w:r>
    </w:p>
    <w:p>
      <w:pPr>
        <w:pStyle w:val="ListParagraph"/>
        <w:numPr>
          <w:ilvl w:val="0"/>
          <w:numId w:val="2"/>
        </w:numPr>
        <w:spacing w:after="80"/>
      </w:pPr>
      <w:r>
        <w:rPr>
          <w:rFonts w:ascii="Arial" w:cs="Arial" w:eastAsia="Arial" w:hAnsi="Arial"/>
          <w:sz w:val="22"/>
          <w:szCs w:val="22"/>
        </w:rPr>
        <w:t xml:space="preserve">NordShield's BioLayr creates a surface that is slightly harder for bacteria to colonize. It does not kill them.</w:t>
      </w:r>
    </w:p>
    <w:p>
      <w:pPr>
        <w:pStyle w:val="ListParagraph"/>
        <w:numPr>
          <w:ilvl w:val="0"/>
          <w:numId w:val="2"/>
        </w:numPr>
        <w:spacing w:after="80"/>
      </w:pPr>
      <w:r>
        <w:rPr>
          <w:rFonts w:ascii="Arial" w:cs="Arial" w:eastAsia="Arial" w:hAnsi="Arial"/>
          <w:sz w:val="22"/>
          <w:szCs w:val="22"/>
        </w:rPr>
        <w:t xml:space="preserve">Viable (living) microbes on a bacteriostatic surface can still transfer to skin, other surfaces, or become active when conditions change.</w:t>
      </w:r>
    </w:p>
    <w:p>
      <w:pPr>
        <w:spacing w:before="60" w:after="60"/>
      </w:pPr>
    </w:p>
    <w:p>
      <w:pPr>
        <w:spacing w:before="240" w:after="120"/>
      </w:pPr>
      <w:r>
        <w:rPr>
          <w:rFonts w:ascii="Arial" w:cs="Arial" w:eastAsia="Arial" w:hAnsi="Arial"/>
          <w:b/>
          <w:bCs/>
          <w:color w:val="00B4C3"/>
          <w:sz w:val="24"/>
          <w:szCs w:val="24"/>
        </w:rPr>
        <w:t xml:space="preserve">The Regulatory Fragility</w:t>
      </w:r>
    </w:p>
    <w:p>
      <w:pPr>
        <w:pStyle w:val="ListParagraph"/>
        <w:numPr>
          <w:ilvl w:val="0"/>
          <w:numId w:val="2"/>
        </w:numPr>
        <w:spacing w:after="80"/>
      </w:pPr>
      <w:r>
        <w:rPr>
          <w:rFonts w:ascii="Arial" w:cs="Arial" w:eastAsia="Arial" w:hAnsi="Arial"/>
          <w:sz w:val="22"/>
          <w:szCs w:val="22"/>
        </w:rPr>
        <w:t xml:space="preserve">BioLayr operates under a 'non-biocidal' classification, which means no EPA registration is required.</w:t>
      </w:r>
    </w:p>
    <w:p>
      <w:pPr>
        <w:pStyle w:val="ListParagraph"/>
        <w:numPr>
          <w:ilvl w:val="0"/>
          <w:numId w:val="2"/>
        </w:numPr>
        <w:spacing w:after="80"/>
      </w:pPr>
      <w:r>
        <w:rPr>
          <w:rFonts w:ascii="Arial" w:cs="Arial" w:eastAsia="Arial" w:hAnsi="Arial"/>
          <w:sz w:val="22"/>
          <w:szCs w:val="22"/>
        </w:rPr>
        <w:t xml:space="preserve">If EU ECHA or US EPA reclassifies the effect as chemical rather than purely physical, NordShield would need biocide/antimicrobial registration.</w:t>
      </w:r>
    </w:p>
    <w:p>
      <w:pPr>
        <w:pStyle w:val="ListParagraph"/>
        <w:numPr>
          <w:ilvl w:val="0"/>
          <w:numId w:val="2"/>
        </w:numPr>
        <w:spacing w:after="80"/>
      </w:pPr>
      <w:r>
        <w:rPr>
          <w:rFonts w:ascii="Arial" w:cs="Arial" w:eastAsia="Arial" w:hAnsi="Arial"/>
          <w:sz w:val="22"/>
          <w:szCs w:val="22"/>
        </w:rPr>
        <w:t xml:space="preserve">Research flagged: BioLayr's core patent (US11598047B2) describes treatment with coniferous resin acid, which suggests a chemical interaction, not purely physical.</w:t>
      </w:r>
    </w:p>
    <w:p>
      <w:pPr>
        <w:pStyle w:val="ListParagraph"/>
        <w:numPr>
          <w:ilvl w:val="0"/>
          <w:numId w:val="2"/>
        </w:numPr>
        <w:spacing w:after="80"/>
      </w:pPr>
      <w:r>
        <w:rPr>
          <w:rFonts w:ascii="Arial" w:cs="Arial" w:eastAsia="Arial" w:hAnsi="Arial"/>
          <w:sz w:val="22"/>
          <w:szCs w:val="22"/>
        </w:rPr>
        <w:t xml:space="preserve">This classification is regulatory-fragile and could collapse under scrutiny.</w:t>
      </w:r>
    </w:p>
    <w:p>
      <w:pPr>
        <w:spacing w:before="60" w:after="60"/>
      </w:pPr>
    </w:p>
    <w:p>
      <w:pPr>
        <w:spacing w:after="120"/>
      </w:pPr>
      <w:r>
        <w:rPr>
          <w:rFonts w:ascii="Arial" w:cs="Arial" w:eastAsia="Arial" w:hAnsi="Arial"/>
          <w:b/>
          <w:bCs/>
          <w:color w:val="00B4C3"/>
          <w:sz w:val="22"/>
          <w:szCs w:val="22"/>
        </w:rPr>
        <w:t xml:space="preserve">FUZE Position: </w:t>
      </w:r>
      <w:r>
        <w:rPr>
          <w:rFonts w:ascii="Arial" w:cs="Arial" w:eastAsia="Arial" w:hAnsi="Arial"/>
          <w:sz w:val="22"/>
          <w:szCs w:val="22"/>
        </w:rPr>
        <w:t xml:space="preserve">FUZE's high density allotrope meta-material sequesters sulfur and eliminates the disulfide bond — removing the engine that bacteria need to function. This is not slowing growth; it is removing the fundamental mechanism. Bactericidal, not bacteriostatic.</w:t>
      </w:r>
    </w:p>
    <w:p>
      <w:r>
        <w:br w:type="page"/>
      </w:r>
    </w:p>
    <w:p>
      <w:pPr>
        <w:pBdr>
          <w:bottom w:val="single" w:color="00B4C3" w:sz="6" w:space="4"/>
        </w:pBdr>
        <w:spacing w:before="360" w:after="180"/>
      </w:pPr>
      <w:r>
        <w:rPr>
          <w:rFonts w:ascii="Arial" w:cs="Arial" w:eastAsia="Arial" w:hAnsi="Arial"/>
          <w:b/>
          <w:bCs/>
          <w:color w:val="1A1A2E"/>
          <w:sz w:val="28"/>
          <w:szCs w:val="28"/>
        </w:rPr>
        <w:t xml:space="preserve">5. EPA &amp; Regulatory Exposure</w:t>
      </w:r>
    </w:p>
    <w:p>
      <w:pPr>
        <w:spacing w:after="120"/>
      </w:pPr>
      <w:r>
        <w:rPr>
          <w:rFonts w:ascii="Arial" w:cs="Arial" w:eastAsia="Arial" w:hAnsi="Arial"/>
          <w:sz w:val="22"/>
          <w:szCs w:val="22"/>
        </w:rPr>
        <w:t xml:space="preserve">A critical finding from our research: CiTex has an EPA registration (No. 103667-1, issued December 8, 2025), but with significant restrictions.</w:t>
      </w:r>
    </w:p>
    <w:p>
      <w:pPr>
        <w:spacing w:before="60" w:after="60"/>
      </w:pPr>
    </w:p>
    <w:p>
      <w:pPr>
        <w:spacing w:before="240" w:after="120"/>
      </w:pPr>
      <w:r>
        <w:rPr>
          <w:rFonts w:ascii="Arial" w:cs="Arial" w:eastAsia="Arial" w:hAnsi="Arial"/>
          <w:b/>
          <w:bCs/>
          <w:color w:val="00B4C3"/>
          <w:sz w:val="24"/>
          <w:szCs w:val="24"/>
        </w:rPr>
        <w:t xml:space="preserve">CiTex EPA Registration Restrictions</w:t>
      </w:r>
    </w:p>
    <w:p>
      <w:pPr>
        <w:pStyle w:val="ListParagraph"/>
        <w:numPr>
          <w:ilvl w:val="0"/>
          <w:numId w:val="2"/>
        </w:numPr>
        <w:spacing w:after="80"/>
      </w:pPr>
      <w:r>
        <w:rPr>
          <w:rFonts w:ascii="Arial" w:cs="Arial" w:eastAsia="Arial" w:hAnsi="Arial"/>
          <w:sz w:val="22"/>
          <w:szCs w:val="22"/>
        </w:rPr>
        <w:t xml:space="preserve">Registered ONLY as an 'antimicrobial material preservative formula' for commercial/industrial use.</w:t>
      </w:r>
    </w:p>
    <w:p>
      <w:pPr>
        <w:pStyle w:val="ListParagraph"/>
        <w:numPr>
          <w:ilvl w:val="0"/>
          <w:numId w:val="2"/>
        </w:numPr>
        <w:spacing w:after="80"/>
      </w:pPr>
      <w:r>
        <w:rPr>
          <w:rFonts w:ascii="Arial" w:cs="Arial" w:eastAsia="Arial" w:hAnsi="Arial"/>
          <w:sz w:val="22"/>
          <w:szCs w:val="22"/>
        </w:rPr>
        <w:t xml:space="preserve">Active ingredient: 8% citric acid.</w:t>
      </w:r>
    </w:p>
    <w:p>
      <w:pPr>
        <w:pStyle w:val="ListParagraph"/>
        <w:numPr>
          <w:ilvl w:val="0"/>
          <w:numId w:val="2"/>
        </w:numPr>
        <w:spacing w:after="80"/>
      </w:pPr>
      <w:r>
        <w:rPr>
          <w:rFonts w:ascii="Arial" w:cs="Arial" w:eastAsia="Arial" w:hAnsi="Arial"/>
          <w:color w:val="C0392B"/>
          <w:sz w:val="22"/>
          <w:szCs w:val="22"/>
        </w:rPr>
        <w:t xml:space="preserve">CRITICAL restriction on the EPA label: 'Treated articles may not make public-health claims and may not claim to protect the user against disease-causing microorganisms without additional registration.'</w:t>
      </w:r>
    </w:p>
    <w:p>
      <w:pPr>
        <w:pStyle w:val="ListParagraph"/>
        <w:numPr>
          <w:ilvl w:val="0"/>
          <w:numId w:val="2"/>
        </w:numPr>
        <w:spacing w:after="80"/>
      </w:pPr>
      <w:r>
        <w:rPr>
          <w:rFonts w:ascii="Arial" w:cs="Arial" w:eastAsia="Arial" w:hAnsi="Arial"/>
          <w:sz w:val="22"/>
          <w:szCs w:val="22"/>
        </w:rPr>
        <w:t xml:space="preserve">This means NO NordShield customer can market their finished product as protecting the wearer from bacteria or disease without obtaining their own separate EPA registration for the finished article.</w:t>
      </w:r>
    </w:p>
    <w:p>
      <w:pPr>
        <w:pStyle w:val="ListParagraph"/>
        <w:numPr>
          <w:ilvl w:val="0"/>
          <w:numId w:val="2"/>
        </w:numPr>
        <w:spacing w:after="80"/>
      </w:pPr>
      <w:r>
        <w:rPr>
          <w:rFonts w:ascii="Arial" w:cs="Arial" w:eastAsia="Arial" w:hAnsi="Arial"/>
          <w:sz w:val="22"/>
          <w:szCs w:val="22"/>
        </w:rPr>
        <w:t xml:space="preserve">If any NordShield customer makes downstream 'protects you from bacteria' marketing claims, that is an EPA compliance violation.</w:t>
      </w:r>
    </w:p>
    <w:p>
      <w:pPr>
        <w:spacing w:before="60" w:after="60"/>
      </w:pPr>
    </w:p>
    <w:p>
      <w:pPr>
        <w:spacing w:before="240" w:after="120"/>
      </w:pPr>
      <w:r>
        <w:rPr>
          <w:rFonts w:ascii="Arial" w:cs="Arial" w:eastAsia="Arial" w:hAnsi="Arial"/>
          <w:b/>
          <w:bCs/>
          <w:color w:val="00B4C3"/>
          <w:sz w:val="24"/>
          <w:szCs w:val="24"/>
        </w:rPr>
        <w:t xml:space="preserve">BioLayr: No EPA Registration At All</w:t>
      </w:r>
    </w:p>
    <w:p>
      <w:pPr>
        <w:pStyle w:val="ListParagraph"/>
        <w:numPr>
          <w:ilvl w:val="0"/>
          <w:numId w:val="2"/>
        </w:numPr>
        <w:spacing w:after="80"/>
      </w:pPr>
      <w:r>
        <w:rPr>
          <w:rFonts w:ascii="Arial" w:cs="Arial" w:eastAsia="Arial" w:hAnsi="Arial"/>
          <w:sz w:val="22"/>
          <w:szCs w:val="22"/>
        </w:rPr>
        <w:t xml:space="preserve">Operates entirely under 'non-biocidal' classification.</w:t>
      </w:r>
    </w:p>
    <w:p>
      <w:pPr>
        <w:pStyle w:val="ListParagraph"/>
        <w:numPr>
          <w:ilvl w:val="0"/>
          <w:numId w:val="2"/>
        </w:numPr>
        <w:spacing w:after="80"/>
      </w:pPr>
      <w:r>
        <w:rPr>
          <w:rFonts w:ascii="Arial" w:cs="Arial" w:eastAsia="Arial" w:hAnsi="Arial"/>
          <w:sz w:val="22"/>
          <w:szCs w:val="22"/>
        </w:rPr>
        <w:t xml:space="preserve">No EPA registration found by any of the three research sources.</w:t>
      </w:r>
    </w:p>
    <w:p>
      <w:pPr>
        <w:pStyle w:val="ListParagraph"/>
        <w:numPr>
          <w:ilvl w:val="0"/>
          <w:numId w:val="2"/>
        </w:numPr>
        <w:spacing w:after="80"/>
      </w:pPr>
      <w:r>
        <w:rPr>
          <w:rFonts w:ascii="Arial" w:cs="Arial" w:eastAsia="Arial" w:hAnsi="Arial"/>
          <w:sz w:val="22"/>
          <w:szCs w:val="22"/>
        </w:rPr>
        <w:t xml:space="preserve">If the mechanism is ever reclassified as biocidal, they would need full EPA antimicrobial registration.</w:t>
      </w:r>
    </w:p>
    <w:p>
      <w:pPr>
        <w:spacing w:before="60" w:after="60"/>
      </w:pPr>
    </w:p>
    <w:p>
      <w:pPr>
        <w:spacing w:before="240" w:after="120"/>
      </w:pPr>
      <w:r>
        <w:rPr>
          <w:rFonts w:ascii="Arial" w:cs="Arial" w:eastAsia="Arial" w:hAnsi="Arial"/>
          <w:b/>
          <w:bCs/>
          <w:color w:val="00B4C3"/>
          <w:sz w:val="24"/>
          <w:szCs w:val="24"/>
        </w:rPr>
        <w:t xml:space="preserve">Downstream Risk to Their Customers</w:t>
      </w:r>
    </w:p>
    <w:p>
      <w:pPr>
        <w:pStyle w:val="ListParagraph"/>
        <w:numPr>
          <w:ilvl w:val="0"/>
          <w:numId w:val="2"/>
        </w:numPr>
        <w:spacing w:after="80"/>
      </w:pPr>
      <w:r>
        <w:rPr>
          <w:rFonts w:ascii="Arial" w:cs="Arial" w:eastAsia="Arial" w:hAnsi="Arial"/>
          <w:color w:val="C0392B"/>
          <w:sz w:val="22"/>
          <w:szCs w:val="22"/>
        </w:rPr>
        <w:t xml:space="preserve">Any brand using NordShield CiTex that claims 'antimicrobial protection' on product packaging or marketing is potentially in violation of EPA FIFRA regulations.</w:t>
      </w:r>
    </w:p>
    <w:p>
      <w:pPr>
        <w:pStyle w:val="ListParagraph"/>
        <w:numPr>
          <w:ilvl w:val="0"/>
          <w:numId w:val="2"/>
        </w:numPr>
        <w:spacing w:after="80"/>
      </w:pPr>
      <w:r>
        <w:rPr>
          <w:rFonts w:ascii="Arial" w:cs="Arial" w:eastAsia="Arial" w:hAnsi="Arial"/>
          <w:sz w:val="22"/>
          <w:szCs w:val="22"/>
        </w:rPr>
        <w:t xml:space="preserve">This is not a theoretical risk. The EPA has historically pursued enforcement actions against antimicrobial marketing claims on unregistered finished articles.</w:t>
      </w:r>
    </w:p>
    <w:p>
      <w:r>
        <w:br w:type="page"/>
      </w:r>
    </w:p>
    <w:p>
      <w:pPr>
        <w:pBdr>
          <w:bottom w:val="single" w:color="00B4C3" w:sz="6" w:space="4"/>
        </w:pBdr>
        <w:spacing w:before="360" w:after="180"/>
      </w:pPr>
      <w:r>
        <w:rPr>
          <w:rFonts w:ascii="Arial" w:cs="Arial" w:eastAsia="Arial" w:hAnsi="Arial"/>
          <w:b/>
          <w:bCs/>
          <w:color w:val="1A1A2E"/>
          <w:sz w:val="28"/>
          <w:szCs w:val="28"/>
        </w:rPr>
        <w:t xml:space="preserve">6. Curing &amp; Application Complexity</w:t>
      </w:r>
    </w:p>
    <w:p>
      <w:pPr>
        <w:spacing w:after="120"/>
      </w:pPr>
      <w:r>
        <w:rPr>
          <w:rFonts w:ascii="Arial" w:cs="Arial" w:eastAsia="Arial" w:hAnsi="Arial"/>
          <w:sz w:val="22"/>
          <w:szCs w:val="22"/>
        </w:rPr>
        <w:t xml:space="preserve">While NordShield markets their products as 'binder-free,' the reality is more nuanced. Their chemistry requires high-temperature curing to create crosslinks — which introduces its own set of problems.</w:t>
      </w:r>
    </w:p>
    <w:p>
      <w:pPr>
        <w:spacing w:before="60" w:after="60"/>
      </w:pPr>
    </w:p>
    <w:p>
      <w:pPr>
        <w:spacing w:before="240" w:after="120"/>
      </w:pPr>
      <w:r>
        <w:rPr>
          <w:rFonts w:ascii="Arial" w:cs="Arial" w:eastAsia="Arial" w:hAnsi="Arial"/>
          <w:b/>
          <w:bCs/>
          <w:color w:val="00B4C3"/>
          <w:sz w:val="24"/>
          <w:szCs w:val="24"/>
        </w:rPr>
        <w:t xml:space="preserve">CiTex Curing Requirements</w:t>
      </w:r>
    </w:p>
    <w:p>
      <w:pPr>
        <w:pStyle w:val="ListParagraph"/>
        <w:numPr>
          <w:ilvl w:val="0"/>
          <w:numId w:val="2"/>
        </w:numPr>
        <w:spacing w:after="80"/>
      </w:pPr>
      <w:r>
        <w:rPr>
          <w:rFonts w:ascii="Arial" w:cs="Arial" w:eastAsia="Arial" w:hAnsi="Arial"/>
          <w:sz w:val="22"/>
          <w:szCs w:val="22"/>
        </w:rPr>
        <w:t xml:space="preserve">CiTex requires curing at approximately 170°C to form ester bonds between citric acid and synthetic fiber.</w:t>
      </w:r>
    </w:p>
    <w:p>
      <w:pPr>
        <w:pStyle w:val="ListParagraph"/>
        <w:numPr>
          <w:ilvl w:val="0"/>
          <w:numId w:val="2"/>
        </w:numPr>
        <w:spacing w:after="80"/>
      </w:pPr>
      <w:r>
        <w:rPr>
          <w:rFonts w:ascii="Arial" w:cs="Arial" w:eastAsia="Arial" w:hAnsi="Arial"/>
          <w:sz w:val="22"/>
          <w:szCs w:val="22"/>
        </w:rPr>
        <w:t xml:space="preserve">This high-temperature curing step adds energy cost, limits which fabrics can be treated (heat-sensitive materials excluded), and adds process time.</w:t>
      </w:r>
    </w:p>
    <w:p>
      <w:pPr>
        <w:pStyle w:val="ListParagraph"/>
        <w:numPr>
          <w:ilvl w:val="0"/>
          <w:numId w:val="2"/>
        </w:numPr>
        <w:spacing w:after="80"/>
      </w:pPr>
      <w:r>
        <w:rPr>
          <w:rFonts w:ascii="Arial" w:cs="Arial" w:eastAsia="Arial" w:hAnsi="Arial"/>
          <w:sz w:val="22"/>
          <w:szCs w:val="22"/>
        </w:rPr>
        <w:t xml:space="preserve">The ester bonds formed during curing are the same bonds that hydrolyze during washing — meaning the curing process creates an inherently temporary bond.</w:t>
      </w:r>
    </w:p>
    <w:p>
      <w:pPr>
        <w:pStyle w:val="ListParagraph"/>
        <w:numPr>
          <w:ilvl w:val="0"/>
          <w:numId w:val="2"/>
        </w:numPr>
        <w:spacing w:after="80"/>
      </w:pPr>
      <w:r>
        <w:rPr>
          <w:rFonts w:ascii="Arial" w:cs="Arial" w:eastAsia="Arial" w:hAnsi="Arial"/>
          <w:color w:val="C0392B"/>
          <w:sz w:val="22"/>
          <w:szCs w:val="22"/>
        </w:rPr>
        <w:t xml:space="preserve">A 'binder-free' treatment that requires 170°C curing and still degrades after 10-30 washes is not a process advantage. It is a different form of the same limitation.</w:t>
      </w:r>
    </w:p>
    <w:p>
      <w:pPr>
        <w:spacing w:before="60" w:after="60"/>
      </w:pPr>
    </w:p>
    <w:p>
      <w:pPr>
        <w:spacing w:before="240" w:after="120"/>
      </w:pPr>
      <w:r>
        <w:rPr>
          <w:rFonts w:ascii="Arial" w:cs="Arial" w:eastAsia="Arial" w:hAnsi="Arial"/>
          <w:b/>
          <w:bCs/>
          <w:color w:val="00B4C3"/>
          <w:sz w:val="24"/>
          <w:szCs w:val="24"/>
        </w:rPr>
        <w:t xml:space="preserve">BioLayr Surface Coating</w:t>
      </w:r>
    </w:p>
    <w:p>
      <w:pPr>
        <w:pStyle w:val="ListParagraph"/>
        <w:numPr>
          <w:ilvl w:val="0"/>
          <w:numId w:val="2"/>
        </w:numPr>
        <w:spacing w:after="80"/>
      </w:pPr>
      <w:r>
        <w:rPr>
          <w:rFonts w:ascii="Arial" w:cs="Arial" w:eastAsia="Arial" w:hAnsi="Arial"/>
          <w:sz w:val="22"/>
          <w:szCs w:val="22"/>
        </w:rPr>
        <w:t xml:space="preserve">BioLayr applies a physical resin acid coating to the fiber surface. While technically not a 'binder,' it is a surface layer that is subject to abrasion and wash-off.</w:t>
      </w:r>
    </w:p>
    <w:p>
      <w:pPr>
        <w:pStyle w:val="ListParagraph"/>
        <w:numPr>
          <w:ilvl w:val="0"/>
          <w:numId w:val="2"/>
        </w:numPr>
        <w:spacing w:after="80"/>
      </w:pPr>
      <w:r>
        <w:rPr>
          <w:rFonts w:ascii="Arial" w:cs="Arial" w:eastAsia="Arial" w:hAnsi="Arial"/>
          <w:sz w:val="22"/>
          <w:szCs w:val="22"/>
        </w:rPr>
        <w:t xml:space="preserve">Any surface coating — whether called a binder, finish, or treatment layer — will degrade with mechanical action in a washing machine.</w:t>
      </w:r>
    </w:p>
    <w:p>
      <w:pPr>
        <w:spacing w:before="60" w:after="60"/>
      </w:pPr>
    </w:p>
    <w:p>
      <w:pPr>
        <w:spacing w:after="120"/>
      </w:pPr>
      <w:r>
        <w:rPr>
          <w:rFonts w:ascii="Arial" w:cs="Arial" w:eastAsia="Arial" w:hAnsi="Arial"/>
          <w:b/>
          <w:bCs/>
          <w:color w:val="00B4C3"/>
          <w:sz w:val="22"/>
          <w:szCs w:val="22"/>
        </w:rPr>
        <w:t xml:space="preserve">FUZE Position: </w:t>
      </w:r>
      <w:r>
        <w:rPr>
          <w:rFonts w:ascii="Arial" w:cs="Arial" w:eastAsia="Arial" w:hAnsi="Arial"/>
          <w:sz w:val="22"/>
          <w:szCs w:val="22"/>
        </w:rPr>
        <w:t xml:space="preserve">FUZE requires no binder, no high-temperature curing, and no surface coating. The high density allotrope meta-material integrates directly with the fiber at ambient or standard wet-processing temperatures. No special equipment. No energy-intensive curing step. No temporary bond that washes away.</w:t>
      </w:r>
    </w:p>
    <w:p>
      <w:r>
        <w:br w:type="page"/>
      </w:r>
    </w:p>
    <w:p>
      <w:pPr>
        <w:pBdr>
          <w:bottom w:val="single" w:color="00B4C3" w:sz="6" w:space="4"/>
        </w:pBdr>
        <w:spacing w:before="360" w:after="180"/>
      </w:pPr>
      <w:r>
        <w:rPr>
          <w:rFonts w:ascii="Arial" w:cs="Arial" w:eastAsia="Arial" w:hAnsi="Arial"/>
          <w:b/>
          <w:bCs/>
          <w:color w:val="1A1A2E"/>
          <w:sz w:val="28"/>
          <w:szCs w:val="28"/>
        </w:rPr>
        <w:t xml:space="preserve">7. No Verifiable Residual: Trust Us vs. Prove It</w:t>
      </w:r>
    </w:p>
    <w:p>
      <w:pPr>
        <w:spacing w:after="120"/>
      </w:pPr>
      <w:r>
        <w:rPr>
          <w:rFonts w:ascii="Arial" w:cs="Arial" w:eastAsia="Arial" w:hAnsi="Arial"/>
          <w:sz w:val="22"/>
          <w:szCs w:val="22"/>
        </w:rPr>
        <w:t xml:space="preserve">There is no standardized, affordable way to verify NordShield's treatments are still working after multiple washes.</w:t>
      </w:r>
    </w:p>
    <w:p>
      <w:pPr>
        <w:spacing w:before="60" w:after="60"/>
      </w:pPr>
    </w:p>
    <w:p>
      <w:pPr>
        <w:pStyle w:val="ListParagraph"/>
        <w:numPr>
          <w:ilvl w:val="0"/>
          <w:numId w:val="2"/>
        </w:numPr>
        <w:spacing w:after="80"/>
      </w:pPr>
      <w:r>
        <w:rPr>
          <w:rFonts w:ascii="Arial" w:cs="Arial" w:eastAsia="Arial" w:hAnsi="Arial"/>
          <w:sz w:val="22"/>
          <w:szCs w:val="22"/>
        </w:rPr>
        <w:t xml:space="preserve">To verify CiTex or BioLayr efficacy at wash 15 or wash 25, you need expensive AATCC 100 or ISO 20743 microbiological testing. This is time-consuming and not feasible for routine quality assurance.</w:t>
      </w:r>
    </w:p>
    <w:p>
      <w:pPr>
        <w:pStyle w:val="ListParagraph"/>
        <w:numPr>
          <w:ilvl w:val="0"/>
          <w:numId w:val="2"/>
        </w:numPr>
        <w:spacing w:after="80"/>
      </w:pPr>
      <w:r>
        <w:rPr>
          <w:rFonts w:ascii="Arial" w:cs="Arial" w:eastAsia="Arial" w:hAnsi="Arial"/>
          <w:sz w:val="22"/>
          <w:szCs w:val="22"/>
        </w:rPr>
        <w:t xml:space="preserve">There is no simple spot-check available. You either trust their 30-wash claim or you spend thousands retesting.</w:t>
      </w:r>
    </w:p>
    <w:p>
      <w:pPr>
        <w:pStyle w:val="ListParagraph"/>
        <w:numPr>
          <w:ilvl w:val="0"/>
          <w:numId w:val="2"/>
        </w:numPr>
        <w:spacing w:after="80"/>
      </w:pPr>
      <w:r>
        <w:rPr>
          <w:rFonts w:ascii="Arial" w:cs="Arial" w:eastAsia="Arial" w:hAnsi="Arial"/>
          <w:sz w:val="22"/>
          <w:szCs w:val="22"/>
        </w:rPr>
        <w:t xml:space="preserve">'At least 30 washes' is ambiguous. Does it mean 99% efficacy at wash 30? 50% efficacy? They don't specify.</w:t>
      </w:r>
    </w:p>
    <w:p>
      <w:pPr>
        <w:spacing w:before="60" w:after="60"/>
      </w:pPr>
    </w:p>
    <w:p>
      <w:pPr>
        <w:spacing w:after="120"/>
      </w:pPr>
      <w:r>
        <w:rPr>
          <w:rFonts w:ascii="Arial" w:cs="Arial" w:eastAsia="Arial" w:hAnsi="Arial"/>
          <w:b/>
          <w:bCs/>
          <w:color w:val="00B4C3"/>
          <w:sz w:val="22"/>
          <w:szCs w:val="22"/>
        </w:rPr>
        <w:t xml:space="preserve">FUZE Position: </w:t>
      </w:r>
      <w:r>
        <w:rPr>
          <w:rFonts w:ascii="Arial" w:cs="Arial" w:eastAsia="Arial" w:hAnsi="Arial"/>
          <w:sz w:val="22"/>
          <w:szCs w:val="22"/>
        </w:rPr>
        <w:t xml:space="preserve">A simple ICP-OES test at any point in the garment's life confirms exact Ag/Au content in mg/kg. Verifiable, quantifiable, auditable. You never have to wonder if FUZE is still working.</w:t>
      </w:r>
    </w:p>
    <w:p>
      <w:r>
        <w:br w:type="page"/>
      </w:r>
    </w:p>
    <w:p>
      <w:pPr>
        <w:pBdr>
          <w:bottom w:val="single" w:color="00B4C3" w:sz="6" w:space="4"/>
        </w:pBdr>
        <w:spacing w:before="360" w:after="180"/>
      </w:pPr>
      <w:r>
        <w:rPr>
          <w:rFonts w:ascii="Arial" w:cs="Arial" w:eastAsia="Arial" w:hAnsi="Arial"/>
          <w:b/>
          <w:bCs/>
          <w:color w:val="1A1A2E"/>
          <w:sz w:val="28"/>
          <w:szCs w:val="28"/>
        </w:rPr>
        <w:t xml:space="preserve">8. Credit Where Due: NordShield Strengths</w:t>
      </w:r>
    </w:p>
    <w:p>
      <w:pPr>
        <w:spacing w:after="120"/>
      </w:pPr>
      <w:r>
        <w:rPr>
          <w:rFonts w:ascii="Arial" w:cs="Arial" w:eastAsia="Arial" w:hAnsi="Arial"/>
          <w:sz w:val="22"/>
          <w:szCs w:val="22"/>
        </w:rPr>
        <w:t xml:space="preserve">A credible competitive analysis acknowledges the opponent's strengths. NordShield has built some legitimate advantages:</w:t>
      </w:r>
    </w:p>
    <w:p>
      <w:pPr>
        <w:spacing w:before="60" w:after="60"/>
      </w:pPr>
    </w:p>
    <w:p>
      <w:pPr>
        <w:pStyle w:val="ListParagraph"/>
        <w:numPr>
          <w:ilvl w:val="0"/>
          <w:numId w:val="2"/>
        </w:numPr>
        <w:spacing w:after="80"/>
      </w:pPr>
      <w:r>
        <w:rPr>
          <w:rFonts w:ascii="Arial" w:cs="Arial" w:eastAsia="Arial" w:hAnsi="Arial"/>
          <w:color w:val="27AE60"/>
          <w:sz w:val="22"/>
          <w:szCs w:val="22"/>
        </w:rPr>
        <w:t xml:space="preserve">Sustainability Certifications: bluesign APPROVED (all products, Jan 2025), ECO PASSPORT by OEKO-TEX, ZDHC MRSL Level 3, USDA Biobased Product. This is a strong certification stack.</w:t>
      </w:r>
    </w:p>
    <w:p>
      <w:pPr>
        <w:pStyle w:val="ListParagraph"/>
        <w:numPr>
          <w:ilvl w:val="0"/>
          <w:numId w:val="2"/>
        </w:numPr>
        <w:spacing w:after="80"/>
      </w:pPr>
      <w:r>
        <w:rPr>
          <w:rFonts w:ascii="Arial" w:cs="Arial" w:eastAsia="Arial" w:hAnsi="Arial"/>
          <w:color w:val="27AE60"/>
          <w:sz w:val="22"/>
          <w:szCs w:val="22"/>
        </w:rPr>
        <w:t xml:space="preserve">Bio-based Narrative: 'Wood extractives from forest industry side streams' is a compelling sustainability story, especially in European markets where bio-based chemistry resonates with brands.</w:t>
      </w:r>
    </w:p>
    <w:p>
      <w:pPr>
        <w:pStyle w:val="ListParagraph"/>
        <w:numPr>
          <w:ilvl w:val="0"/>
          <w:numId w:val="2"/>
        </w:numPr>
        <w:spacing w:after="80"/>
      </w:pPr>
      <w:r>
        <w:rPr>
          <w:rFonts w:ascii="Arial" w:cs="Arial" w:eastAsia="Arial" w:hAnsi="Arial"/>
          <w:color w:val="27AE60"/>
          <w:sz w:val="22"/>
          <w:szCs w:val="22"/>
        </w:rPr>
        <w:t xml:space="preserve">Non-Biocidal Positioning: For brands that specifically want to avoid biocidal claims (EU BPR compliance concerns), BioLayr offers a differentiated position.</w:t>
      </w:r>
    </w:p>
    <w:p>
      <w:pPr>
        <w:pStyle w:val="ListParagraph"/>
        <w:numPr>
          <w:ilvl w:val="0"/>
          <w:numId w:val="2"/>
        </w:numPr>
        <w:spacing w:after="80"/>
      </w:pPr>
      <w:r>
        <w:rPr>
          <w:rFonts w:ascii="Arial" w:cs="Arial" w:eastAsia="Arial" w:hAnsi="Arial"/>
          <w:color w:val="27AE60"/>
          <w:sz w:val="22"/>
          <w:szCs w:val="22"/>
        </w:rPr>
        <w:t xml:space="preserve">ISPO Award: Bosideng's Women Tech Shell won an ISPO Award using NordShield technology. Industry recognition matters.</w:t>
      </w:r>
    </w:p>
    <w:p>
      <w:pPr>
        <w:pStyle w:val="ListParagraph"/>
        <w:numPr>
          <w:ilvl w:val="0"/>
          <w:numId w:val="2"/>
        </w:numPr>
        <w:spacing w:after="80"/>
      </w:pPr>
      <w:r>
        <w:rPr>
          <w:rFonts w:ascii="Arial" w:cs="Arial" w:eastAsia="Arial" w:hAnsi="Arial"/>
          <w:color w:val="27AE60"/>
          <w:sz w:val="22"/>
          <w:szCs w:val="22"/>
        </w:rPr>
        <w:t xml:space="preserve">Fashion for Good membership: Listed as an innovator, which provides credibility in the sustainable fashion space.</w:t>
      </w:r>
    </w:p>
    <w:p>
      <w:pPr>
        <w:pStyle w:val="ListParagraph"/>
        <w:numPr>
          <w:ilvl w:val="0"/>
          <w:numId w:val="2"/>
        </w:numPr>
        <w:spacing w:after="80"/>
      </w:pPr>
      <w:r>
        <w:rPr>
          <w:rFonts w:ascii="Arial" w:cs="Arial" w:eastAsia="Arial" w:hAnsi="Arial"/>
          <w:color w:val="27AE60"/>
          <w:sz w:val="22"/>
          <w:szCs w:val="22"/>
        </w:rPr>
        <w:t xml:space="preserve">Patent protection: Two meaningful patent families covering both CiTex (polycarboxylic acid) and BioLayr (coniferous resin acid). US patent US11598047B2 is granted.</w:t>
      </w:r>
    </w:p>
    <w:p>
      <w:pPr>
        <w:spacing w:before="120" w:after="120"/>
      </w:pPr>
    </w:p>
    <w:p>
      <w:pPr>
        <w:spacing w:after="120"/>
      </w:pPr>
      <w:r>
        <w:rPr>
          <w:rFonts w:ascii="Arial" w:cs="Arial" w:eastAsia="Arial" w:hAnsi="Arial"/>
          <w:b/>
          <w:bCs/>
          <w:sz w:val="22"/>
          <w:szCs w:val="22"/>
        </w:rPr>
        <w:t xml:space="preserve">However: </w:t>
      </w:r>
      <w:r>
        <w:rPr>
          <w:rFonts w:ascii="Arial" w:cs="Arial" w:eastAsia="Arial" w:hAnsi="Arial"/>
          <w:sz w:val="22"/>
          <w:szCs w:val="22"/>
        </w:rPr>
        <w:t xml:space="preserve">Certifications and awards do not solve the fundamental problems of 30-wash durability limits, bacteriostatic-only performance, substrate fragmentation, and a company losing EUR 2 million per year on EUR 107k in revenue. These strengths are marketing assets, not technical or commercial differentiators that impact end-product performance.</w:t>
      </w:r>
    </w:p>
    <w:p>
      <w:r>
        <w:br w:type="page"/>
      </w:r>
    </w:p>
    <w:p>
      <w:pPr>
        <w:pBdr>
          <w:bottom w:val="single" w:color="00B4C3" w:sz="6" w:space="4"/>
        </w:pBdr>
        <w:spacing w:before="360" w:after="180"/>
      </w:pPr>
      <w:r>
        <w:rPr>
          <w:rFonts w:ascii="Arial" w:cs="Arial" w:eastAsia="Arial" w:hAnsi="Arial"/>
          <w:b/>
          <w:bCs/>
          <w:color w:val="1A1A2E"/>
          <w:sz w:val="28"/>
          <w:szCs w:val="28"/>
        </w:rPr>
        <w:t xml:space="preserve">9. Head-to-Head Comparison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0B4C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10"/>
            <w:tcBorders>
              <w:top w:val="single" w:color="CCCCCC" w:sz="1"/>
              <w:left w:val="single" w:color="CCCCCC" w:sz="1"/>
              <w:bottom w:val="single" w:color="CCCCCC" w:sz="1"/>
              <w:right w:val="single" w:color="CCCCCC" w:sz="1"/>
            </w:tcBorders>
            <w:shd w:fill="00B4C3" w:val="clear"/>
            <w:tcMar>
              <w:top w:type="dxa" w:w="80"/>
              <w:left w:type="dxa" w:w="120"/>
              <w:bottom w:type="dxa" w:w="80"/>
              <w:right w:type="dxa" w:w="120"/>
            </w:tcMar>
          </w:tcPr>
          <w:p>
            <w:r>
              <w:rPr>
                <w:rFonts w:ascii="Arial" w:cs="Arial" w:eastAsia="Arial" w:hAnsi="Arial"/>
                <w:b/>
                <w:bCs/>
                <w:color w:val="FFFFFF"/>
                <w:sz w:val="20"/>
                <w:szCs w:val="20"/>
              </w:rPr>
              <w:t xml:space="preserve">NordShield</w:t>
            </w:r>
          </w:p>
        </w:tc>
        <w:tc>
          <w:tcPr>
            <w:tcW w:type="dxa" w:w="3510"/>
            <w:tcBorders>
              <w:top w:val="single" w:color="CCCCCC" w:sz="1"/>
              <w:left w:val="single" w:color="CCCCCC" w:sz="1"/>
              <w:bottom w:val="single" w:color="CCCCCC" w:sz="1"/>
              <w:right w:val="single" w:color="CCCCCC" w:sz="1"/>
            </w:tcBorders>
            <w:shd w:fill="00B4C3" w:val="clear"/>
            <w:tcMar>
              <w:top w:type="dxa" w:w="80"/>
              <w:left w:type="dxa" w:w="120"/>
              <w:bottom w:type="dxa" w:w="80"/>
              <w:right w:type="dxa" w:w="120"/>
            </w:tcMar>
          </w:tcPr>
          <w:p>
            <w:r>
              <w:rPr>
                <w:rFonts w:ascii="Arial" w:cs="Arial" w:eastAsia="Arial" w:hAnsi="Arial"/>
                <w:b/>
                <w:bCs/>
                <w:color w:val="FFFFFF"/>
                <w:sz w:val="20"/>
                <w:szCs w:val="20"/>
              </w:rPr>
              <w:t xml:space="preserve">FUZE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Durability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392B"/>
                <w:sz w:val="20"/>
                <w:szCs w:val="20"/>
              </w:rPr>
              <w:t xml:space="preserve">30 washes (then degrades)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Permanent (life of garment)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Kill Mechanism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Bacteriostatic (slows growth)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Sulfur sequestration (eliminates disulfide bond)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Substrate Range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392B"/>
                <w:sz w:val="20"/>
                <w:szCs w:val="20"/>
              </w:rPr>
              <w:t xml:space="preserve">3 products for 3 substrates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One technology, ALL substrates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Verification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Expensive microbiological retesting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Simple ICP-OES at any time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EPA Status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392B"/>
                <w:sz w:val="20"/>
                <w:szCs w:val="20"/>
              </w:rPr>
              <w:t xml:space="preserve">Material preservative only (CiTex)</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Clear antimicrobial positioning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Revenue (2024)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EUR 107,000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Commercially operational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Metal Leaching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392B"/>
                <w:sz w:val="20"/>
                <w:szCs w:val="20"/>
              </w:rPr>
              <w:t xml:space="preserve">N/A (no metal)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Minimal leaching by design (ICP-verified)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Curing/Binder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170°C curing (CiTex), surface coating (BioLayr)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No binder, no curing, ambient application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Sustainability Claim</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392B"/>
                <w:sz w:val="20"/>
                <w:szCs w:val="20"/>
              </w:rPr>
              <w:t xml:space="preserve">Bio-based, non-biocidal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Permanent = no reapplication waste</w:t>
            </w:r>
          </w:p>
        </w:tc>
      </w:tr>
    </w:tbl>
    <w:p>
      <w:r>
        <w:br w:type="page"/>
      </w:r>
    </w:p>
    <w:p>
      <w:pPr>
        <w:pBdr>
          <w:bottom w:val="single" w:color="00B4C3" w:sz="6" w:space="4"/>
        </w:pBdr>
        <w:spacing w:before="360" w:after="180"/>
      </w:pPr>
      <w:r>
        <w:rPr>
          <w:rFonts w:ascii="Arial" w:cs="Arial" w:eastAsia="Arial" w:hAnsi="Arial"/>
          <w:b/>
          <w:bCs/>
          <w:color w:val="1A1A2E"/>
          <w:sz w:val="28"/>
          <w:szCs w:val="28"/>
        </w:rPr>
        <w:t xml:space="preserve">10. Their Attack on Silver (and How to Counter)</w:t>
      </w:r>
    </w:p>
    <w:p>
      <w:pPr>
        <w:spacing w:after="120"/>
      </w:pPr>
      <w:r>
        <w:rPr>
          <w:rFonts w:ascii="Arial" w:cs="Arial" w:eastAsia="Arial" w:hAnsi="Arial"/>
          <w:sz w:val="22"/>
          <w:szCs w:val="22"/>
        </w:rPr>
        <w:t xml:space="preserve">NordShield's marketing consistently attacks silver/metal-based antimicrobials. You will hear these talking points from their customers:</w:t>
      </w:r>
    </w:p>
    <w:p>
      <w:pPr>
        <w:spacing w:before="60" w:after="60"/>
      </w:pPr>
    </w:p>
    <w:p>
      <w:pPr>
        <w:spacing w:before="240" w:after="120"/>
      </w:pPr>
      <w:r>
        <w:rPr>
          <w:rFonts w:ascii="Arial" w:cs="Arial" w:eastAsia="Arial" w:hAnsi="Arial"/>
          <w:b/>
          <w:bCs/>
          <w:color w:val="00B4C3"/>
          <w:sz w:val="24"/>
          <w:szCs w:val="24"/>
        </w:rPr>
        <w:t xml:space="preserve">Their Claims</w:t>
      </w:r>
    </w:p>
    <w:p>
      <w:pPr>
        <w:pStyle w:val="ListParagraph"/>
        <w:numPr>
          <w:ilvl w:val="0"/>
          <w:numId w:val="2"/>
        </w:numPr>
        <w:spacing w:after="80"/>
      </w:pPr>
      <w:r>
        <w:rPr>
          <w:rFonts w:ascii="Arial" w:cs="Arial" w:eastAsia="Arial" w:hAnsi="Arial"/>
          <w:sz w:val="22"/>
          <w:szCs w:val="22"/>
        </w:rPr>
        <w:t xml:space="preserve">'10-90% of silver washes out after only 10 washes' (environmental damage argument)</w:t>
      </w:r>
    </w:p>
    <w:p>
      <w:pPr>
        <w:pStyle w:val="ListParagraph"/>
        <w:numPr>
          <w:ilvl w:val="0"/>
          <w:numId w:val="2"/>
        </w:numPr>
        <w:spacing w:after="80"/>
      </w:pPr>
      <w:r>
        <w:rPr>
          <w:rFonts w:ascii="Arial" w:cs="Arial" w:eastAsia="Arial" w:hAnsi="Arial"/>
          <w:sz w:val="22"/>
          <w:szCs w:val="22"/>
        </w:rPr>
        <w:t xml:space="preserve">'Heavy metals are a threat to life and environment by leaching'</w:t>
      </w:r>
    </w:p>
    <w:p>
      <w:pPr>
        <w:pStyle w:val="ListParagraph"/>
        <w:numPr>
          <w:ilvl w:val="0"/>
          <w:numId w:val="2"/>
        </w:numPr>
        <w:spacing w:after="80"/>
      </w:pPr>
      <w:r>
        <w:rPr>
          <w:rFonts w:ascii="Arial" w:cs="Arial" w:eastAsia="Arial" w:hAnsi="Arial"/>
          <w:sz w:val="22"/>
          <w:szCs w:val="22"/>
        </w:rPr>
        <w:t xml:space="preserve">'Current standard antimicrobial treatments based on heavy metals are provenly a threat'</w:t>
      </w:r>
    </w:p>
    <w:p>
      <w:pPr>
        <w:spacing w:before="60" w:after="60"/>
      </w:pPr>
    </w:p>
    <w:p>
      <w:pPr>
        <w:spacing w:before="240" w:after="120"/>
      </w:pPr>
      <w:r>
        <w:rPr>
          <w:rFonts w:ascii="Arial" w:cs="Arial" w:eastAsia="Arial" w:hAnsi="Arial"/>
          <w:b/>
          <w:bCs/>
          <w:color w:val="00B4C3"/>
          <w:sz w:val="24"/>
          <w:szCs w:val="24"/>
        </w:rPr>
        <w:t xml:space="preserve">FUZE Counter-Points</w:t>
      </w:r>
    </w:p>
    <w:p>
      <w:pPr>
        <w:pStyle w:val="ListParagraph"/>
        <w:numPr>
          <w:ilvl w:val="0"/>
          <w:numId w:val="2"/>
        </w:numPr>
        <w:spacing w:after="80"/>
      </w:pPr>
      <w:r>
        <w:rPr>
          <w:rFonts w:ascii="Arial" w:cs="Arial" w:eastAsia="Arial" w:hAnsi="Arial"/>
          <w:sz w:val="22"/>
          <w:szCs w:val="22"/>
        </w:rPr>
        <w:t xml:space="preserve">FUZE is a high density allotrope, not a conventional silver nanoparticle treatment. The leaching data NordShield cites applies to old-generation nano-silver, not FUZE meta-material technology.</w:t>
      </w:r>
    </w:p>
    <w:p>
      <w:pPr>
        <w:pStyle w:val="ListParagraph"/>
        <w:numPr>
          <w:ilvl w:val="0"/>
          <w:numId w:val="2"/>
        </w:numPr>
        <w:spacing w:after="80"/>
      </w:pPr>
      <w:r>
        <w:rPr>
          <w:rFonts w:ascii="Arial" w:cs="Arial" w:eastAsia="Arial" w:hAnsi="Arial"/>
          <w:sz w:val="22"/>
          <w:szCs w:val="22"/>
        </w:rPr>
        <w:t xml:space="preserve">FUZE is designed for minimal leaching by nature of the application method. ICP testing proves retention through the entire product lifecycle.</w:t>
      </w:r>
    </w:p>
    <w:p>
      <w:pPr>
        <w:pStyle w:val="ListParagraph"/>
        <w:numPr>
          <w:ilvl w:val="0"/>
          <w:numId w:val="2"/>
        </w:numPr>
        <w:spacing w:after="80"/>
      </w:pPr>
      <w:r>
        <w:rPr>
          <w:rFonts w:ascii="Arial" w:cs="Arial" w:eastAsia="Arial" w:hAnsi="Arial"/>
          <w:sz w:val="22"/>
          <w:szCs w:val="22"/>
        </w:rPr>
        <w:t xml:space="preserve">The environmental argument actually favors FUZE: a treatment that lasts permanently vs. one that degrades after 30 washes and requires reapplication means fewer chemicals overall on a lifecycle basis.</w:t>
      </w:r>
    </w:p>
    <w:p>
      <w:pPr>
        <w:pStyle w:val="ListParagraph"/>
        <w:numPr>
          <w:ilvl w:val="0"/>
          <w:numId w:val="2"/>
        </w:numPr>
        <w:spacing w:after="80"/>
      </w:pPr>
      <w:r>
        <w:rPr>
          <w:rFonts w:ascii="Arial" w:cs="Arial" w:eastAsia="Arial" w:hAnsi="Arial"/>
          <w:sz w:val="22"/>
          <w:szCs w:val="22"/>
        </w:rPr>
        <w:t xml:space="preserve">A garment treated once with FUZE for its entire life has a lower total environmental impact than one retreated repeatedly with citric acid or wood resin.</w:t>
      </w:r>
    </w:p>
    <w:p>
      <w:r>
        <w:br w:type="page"/>
      </w:r>
    </w:p>
    <w:p>
      <w:pPr>
        <w:pBdr>
          <w:bottom w:val="single" w:color="00B4C3" w:sz="6" w:space="4"/>
        </w:pBdr>
        <w:spacing w:before="360" w:after="180"/>
      </w:pPr>
      <w:r>
        <w:rPr>
          <w:rFonts w:ascii="Arial" w:cs="Arial" w:eastAsia="Arial" w:hAnsi="Arial"/>
          <w:b/>
          <w:bCs/>
          <w:color w:val="1A1A2E"/>
          <w:sz w:val="28"/>
          <w:szCs w:val="28"/>
        </w:rPr>
        <w:t xml:space="preserve">11. Customer Meeting Talking Points</w:t>
      </w:r>
    </w:p>
    <w:p>
      <w:pPr>
        <w:spacing w:after="120"/>
      </w:pPr>
      <w:r>
        <w:rPr>
          <w:rFonts w:ascii="Arial" w:cs="Arial" w:eastAsia="Arial" w:hAnsi="Arial"/>
          <w:sz w:val="22"/>
          <w:szCs w:val="22"/>
        </w:rPr>
        <w:t xml:space="preserve">When meeting with a current or prospective NordShield customer, lead with questions, not attacks:</w:t>
      </w:r>
    </w:p>
    <w:p>
      <w:pPr>
        <w:spacing w:before="60" w:after="60"/>
      </w:pPr>
    </w:p>
    <w:p>
      <w:pPr>
        <w:pStyle w:val="ListParagraph"/>
        <w:numPr>
          <w:ilvl w:val="0"/>
          <w:numId w:val="3"/>
        </w:numPr>
        <w:spacing w:after="120"/>
      </w:pPr>
      <w:r>
        <w:rPr>
          <w:rFonts w:ascii="Arial" w:cs="Arial" w:eastAsia="Arial" w:hAnsi="Arial"/>
          <w:b/>
          <w:bCs/>
          <w:sz w:val="22"/>
          <w:szCs w:val="22"/>
        </w:rPr>
        <w:t xml:space="preserve">'What happens after wash 30?' </w:t>
      </w:r>
      <w:r>
        <w:rPr>
          <w:rFonts w:ascii="Arial" w:cs="Arial" w:eastAsia="Arial" w:hAnsi="Arial"/>
          <w:sz w:val="22"/>
          <w:szCs w:val="22"/>
        </w:rPr>
        <w:t xml:space="preserve">For performance textiles, workwear, medical, and hospitality applications, 30 washes is nothing. Ask them what their actual wash cycle requirements are.</w:t>
      </w:r>
    </w:p>
    <w:p>
      <w:pPr>
        <w:pStyle w:val="ListParagraph"/>
        <w:numPr>
          <w:ilvl w:val="0"/>
          <w:numId w:val="3"/>
        </w:numPr>
        <w:spacing w:after="120"/>
      </w:pPr>
      <w:r>
        <w:rPr>
          <w:rFonts w:ascii="Arial" w:cs="Arial" w:eastAsia="Arial" w:hAnsi="Arial"/>
          <w:b/>
          <w:bCs/>
          <w:sz w:val="22"/>
          <w:szCs w:val="22"/>
        </w:rPr>
        <w:t xml:space="preserve">'How do you verify it's still working?' </w:t>
      </w:r>
      <w:r>
        <w:rPr>
          <w:rFonts w:ascii="Arial" w:cs="Arial" w:eastAsia="Arial" w:hAnsi="Arial"/>
          <w:sz w:val="22"/>
          <w:szCs w:val="22"/>
        </w:rPr>
        <w:t xml:space="preserve">FUZE provides ICP-verifiable proof at any point. NordShield requires expensive microbiological retesting. Which gives you more confidence in your supply chain?</w:t>
      </w:r>
    </w:p>
    <w:p>
      <w:pPr>
        <w:pStyle w:val="ListParagraph"/>
        <w:numPr>
          <w:ilvl w:val="0"/>
          <w:numId w:val="3"/>
        </w:numPr>
        <w:spacing w:after="120"/>
      </w:pPr>
      <w:r>
        <w:rPr>
          <w:rFonts w:ascii="Arial" w:cs="Arial" w:eastAsia="Arial" w:hAnsi="Arial"/>
          <w:b/>
          <w:bCs/>
          <w:sz w:val="22"/>
          <w:szCs w:val="22"/>
        </w:rPr>
        <w:t xml:space="preserve">'Do you need to kill bacteria, or just slow them down?' </w:t>
      </w:r>
      <w:r>
        <w:rPr>
          <w:rFonts w:ascii="Arial" w:cs="Arial" w:eastAsia="Arial" w:hAnsi="Arial"/>
          <w:sz w:val="22"/>
          <w:szCs w:val="22"/>
        </w:rPr>
        <w:t xml:space="preserve">Bacteriostatic vs. bactericidal is a fundamental difference. Make them articulate what their end-users actually need.</w:t>
      </w:r>
    </w:p>
    <w:p>
      <w:pPr>
        <w:pStyle w:val="ListParagraph"/>
        <w:numPr>
          <w:ilvl w:val="0"/>
          <w:numId w:val="3"/>
        </w:numPr>
        <w:spacing w:after="120"/>
      </w:pPr>
      <w:r>
        <w:rPr>
          <w:rFonts w:ascii="Arial" w:cs="Arial" w:eastAsia="Arial" w:hAnsi="Arial"/>
          <w:b/>
          <w:bCs/>
          <w:sz w:val="22"/>
          <w:szCs w:val="22"/>
        </w:rPr>
        <w:t xml:space="preserve">'What substrates are in your product line?' </w:t>
      </w:r>
      <w:r>
        <w:rPr>
          <w:rFonts w:ascii="Arial" w:cs="Arial" w:eastAsia="Arial" w:hAnsi="Arial"/>
          <w:sz w:val="22"/>
          <w:szCs w:val="22"/>
        </w:rPr>
        <w:t xml:space="preserve">If they use blends or multiple fabric types, NordShield requires multiple products. FUZE is one solution across all substrates.</w:t>
      </w:r>
    </w:p>
    <w:p>
      <w:pPr>
        <w:pStyle w:val="ListParagraph"/>
        <w:numPr>
          <w:ilvl w:val="0"/>
          <w:numId w:val="3"/>
        </w:numPr>
        <w:spacing w:after="120"/>
      </w:pPr>
      <w:r>
        <w:rPr>
          <w:rFonts w:ascii="Arial" w:cs="Arial" w:eastAsia="Arial" w:hAnsi="Arial"/>
          <w:b/>
          <w:bCs/>
          <w:sz w:val="22"/>
          <w:szCs w:val="22"/>
        </w:rPr>
        <w:t xml:space="preserve">'Have you reviewed the EPA label restrictions on CiTex?' </w:t>
      </w:r>
      <w:r>
        <w:rPr>
          <w:rFonts w:ascii="Arial" w:cs="Arial" w:eastAsia="Arial" w:hAnsi="Arial"/>
          <w:sz w:val="22"/>
          <w:szCs w:val="22"/>
        </w:rPr>
        <w:t xml:space="preserve">EPA Reg. No. 103667-1 explicitly prohibits public health claims on finished articles. If their marketing says 'kills bacteria' or 'protects the wearer,' that's a compliance problem.</w:t>
      </w:r>
    </w:p>
    <w:p>
      <w:pPr>
        <w:pStyle w:val="ListParagraph"/>
        <w:numPr>
          <w:ilvl w:val="0"/>
          <w:numId w:val="3"/>
        </w:numPr>
        <w:spacing w:after="120"/>
      </w:pPr>
      <w:r>
        <w:rPr>
          <w:rFonts w:ascii="Arial" w:cs="Arial" w:eastAsia="Arial" w:hAnsi="Arial"/>
          <w:b/>
          <w:bCs/>
          <w:sz w:val="22"/>
          <w:szCs w:val="22"/>
        </w:rPr>
        <w:t xml:space="preserve">'What's the total cost of ownership?' </w:t>
      </w:r>
      <w:r>
        <w:rPr>
          <w:rFonts w:ascii="Arial" w:cs="Arial" w:eastAsia="Arial" w:hAnsi="Arial"/>
          <w:sz w:val="22"/>
          <w:szCs w:val="22"/>
        </w:rPr>
        <w:t xml:space="preserve">A treatment that lasts the life of the product vs. one that degrades is more cost-effective and more sustainable. Factor in reapplication costs and the value of permanent protection.</w:t>
      </w:r>
    </w:p>
    <w:p>
      <w:r>
        <w:br w:type="page"/>
      </w:r>
    </w:p>
    <w:p>
      <w:pPr>
        <w:pBdr>
          <w:bottom w:val="single" w:color="00B4C3" w:sz="6" w:space="4"/>
        </w:pBdr>
        <w:spacing w:before="360" w:after="180"/>
      </w:pPr>
      <w:r>
        <w:rPr>
          <w:rFonts w:ascii="Arial" w:cs="Arial" w:eastAsia="Arial" w:hAnsi="Arial"/>
          <w:b/>
          <w:bCs/>
          <w:color w:val="1A1A2E"/>
          <w:sz w:val="28"/>
          <w:szCs w:val="28"/>
        </w:rPr>
        <w:t xml:space="preserve">Intelligence Sources</w:t>
      </w:r>
    </w:p>
    <w:p>
      <w:pPr>
        <w:spacing w:after="120"/>
      </w:pPr>
      <w:r>
        <w:rPr>
          <w:rFonts w:ascii="Arial" w:cs="Arial" w:eastAsia="Arial" w:hAnsi="Arial"/>
          <w:sz w:val="22"/>
          <w:szCs w:val="22"/>
        </w:rPr>
        <w:t xml:space="preserve">This analysis was cross-validated across three independent research sources to ensure accuracy and completeness. Key data references include:</w:t>
      </w:r>
    </w:p>
    <w:p>
      <w:pPr>
        <w:spacing w:before="60" w:after="60"/>
      </w:pPr>
    </w:p>
    <w:p>
      <w:pPr>
        <w:spacing w:before="240" w:after="120"/>
      </w:pPr>
      <w:r>
        <w:rPr>
          <w:rFonts w:ascii="Arial" w:cs="Arial" w:eastAsia="Arial" w:hAnsi="Arial"/>
          <w:b/>
          <w:bCs/>
          <w:color w:val="00B4C3"/>
          <w:sz w:val="24"/>
          <w:szCs w:val="24"/>
        </w:rPr>
        <w:t xml:space="preserve">Source 1 (Primary Research)</w:t>
      </w:r>
    </w:p>
    <w:p>
      <w:pPr>
        <w:spacing w:after="120"/>
      </w:pPr>
      <w:r>
        <w:rPr>
          <w:rFonts w:ascii="Arial" w:cs="Arial" w:eastAsia="Arial" w:hAnsi="Arial"/>
          <w:color w:val="666666"/>
          <w:sz w:val="20"/>
          <w:szCs w:val="20"/>
        </w:rPr>
        <w:t xml:space="preserve">NordShield.com, Innovation in Textiles, Scandinavian Outdoor Award, Nordic Center for Sustainable Healthcare, Japan Times, PubMed/PMC, EPA.gov, Fashion for Good, Texintel, OI Compass, Crunchbase</w:t>
      </w:r>
    </w:p>
    <w:p>
      <w:pPr>
        <w:spacing w:before="240" w:after="120"/>
      </w:pPr>
      <w:r>
        <w:rPr>
          <w:rFonts w:ascii="Arial" w:cs="Arial" w:eastAsia="Arial" w:hAnsi="Arial"/>
          <w:b/>
          <w:bCs/>
          <w:color w:val="00B4C3"/>
          <w:sz w:val="24"/>
          <w:szCs w:val="24"/>
        </w:rPr>
        <w:t xml:space="preserve">Source 2 (Cross-Validation)</w:t>
      </w:r>
    </w:p>
    <w:p>
      <w:pPr>
        <w:spacing w:after="120"/>
      </w:pPr>
      <w:r>
        <w:rPr>
          <w:rFonts w:ascii="Arial" w:cs="Arial" w:eastAsia="Arial" w:hAnsi="Arial"/>
          <w:color w:val="666666"/>
          <w:sz w:val="20"/>
          <w:szCs w:val="20"/>
        </w:rPr>
        <w:t xml:space="preserve">Confirmed primary findings. Added: Allan Andersen CCO hire, Kamakura Shirts partnership, bluesign approval timeline, three patent filings (WO2024115816A1, EP4627149A1, FI20226068A1), citric acid ester bond degradation research.</w:t>
      </w:r>
    </w:p>
    <w:p>
      <w:pPr>
        <w:spacing w:before="240" w:after="120"/>
      </w:pPr>
      <w:r>
        <w:rPr>
          <w:rFonts w:ascii="Arial" w:cs="Arial" w:eastAsia="Arial" w:hAnsi="Arial"/>
          <w:b/>
          <w:bCs/>
          <w:color w:val="00B4C3"/>
          <w:sz w:val="24"/>
          <w:szCs w:val="24"/>
        </w:rPr>
        <w:t xml:space="preserve">Source 3 (Cross-Validation)</w:t>
      </w:r>
    </w:p>
    <w:p>
      <w:pPr>
        <w:spacing w:after="120"/>
      </w:pPr>
      <w:r>
        <w:rPr>
          <w:rFonts w:ascii="Arial" w:cs="Arial" w:eastAsia="Arial" w:hAnsi="Arial"/>
          <w:color w:val="666666"/>
          <w:sz w:val="20"/>
          <w:szCs w:val="20"/>
        </w:rPr>
        <w:t xml:space="preserve">Major additions: CiTex EPA Reg. No. 103667-1 (Dec 2025), Finnish financial filings (EUR 107k revenue, EUR 2.09M loss), Cesium merger disambiguation, BioLayr patent family (US11598047B2), CEO succession to Paul Wasastjerna, Bosideng ISPO details.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jc w:val="center"/>
    </w:pPr>
    <w:r>
      <w:rPr>
        <w:rFonts w:ascii="Arial" w:cs="Arial" w:eastAsia="Arial" w:hAnsi="Arial"/>
        <w:color w:val="666666"/>
        <w:sz w:val="16"/>
        <w:szCs w:val="16"/>
      </w:rPr>
      <w:t xml:space="preserve">NordShield Competitive Analysis  |  March 2026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C3" w:sz="4" w:space="4"/>
      </w:pBdr>
      <w:tabs>
        <w:tab w:val="right" w:pos="9026"/>
      </w:tabs>
    </w:pPr>
    <w:r>
      <w:rPr>
        <w:rFonts w:ascii="Arial" w:cs="Arial" w:eastAsia="Arial" w:hAnsi="Arial"/>
        <w:b/>
        <w:bCs/>
        <w:color w:val="C0392B"/>
        <w:sz w:val="16"/>
        <w:szCs w:val="16"/>
      </w:rPr>
      <w:t xml:space="preserve">CONFIDENTIAL</w:t>
    </w:r>
    <w:r>
      <w:t xml:space="preserve">	</w:t>
    </w:r>
    <w:r>
      <w:rPr>
        <w:rFonts w:ascii="Arial" w:cs="Arial" w:eastAsia="Arial" w:hAnsi="Arial"/>
        <w:color w:val="666666"/>
        <w:sz w:val="16"/>
        <w:szCs w:val="16"/>
      </w:rPr>
      <w:t xml:space="preserve">FUZE Biotech Competitive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00B4C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2026-03-10T01:18:59.079Z</dcterms:created>
  <dcterms:modified xsi:type="dcterms:W3CDTF">2026-03-10T01:18:59.079Z</dcterms:modified>
</cp:coreProperties>
</file>

<file path=docProps/custom.xml><?xml version="1.0" encoding="utf-8"?>
<Properties xmlns="http://schemas.openxmlformats.org/officeDocument/2006/custom-properties" xmlns:vt="http://schemas.openxmlformats.org/officeDocument/2006/docPropsVTypes"/>
</file>