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00B4C3"/>
          <w:sz w:val="72"/>
        </w:rPr>
        <w:t>FUZE BIOTECH</w:t>
      </w:r>
    </w:p>
    <w:p>
      <w:pPr>
        <w:jc w:val="center"/>
      </w:pPr>
      <w:r>
        <w:rPr>
          <w:rFonts w:ascii="Arial" w:hAnsi="Arial"/>
          <w:b/>
          <w:color w:val="00505C"/>
          <w:sz w:val="44"/>
        </w:rPr>
        <w:t>ENVIRONMENTAL &amp; COMPETITIVE</w:t>
      </w:r>
    </w:p>
    <w:p>
      <w:pPr>
        <w:jc w:val="center"/>
      </w:pPr>
      <w:r>
        <w:rPr>
          <w:rFonts w:ascii="Arial" w:hAnsi="Arial"/>
          <w:b/>
          <w:color w:val="00505C"/>
          <w:sz w:val="44"/>
        </w:rPr>
        <w:t>INTELLIGENCE REPORT</w:t>
      </w:r>
    </w:p>
    <w:p/>
    <w:p>
      <w:pPr>
        <w:jc w:val="center"/>
      </w:pPr>
      <w:r>
        <w:rPr>
          <w:rFonts w:ascii="Arial" w:hAnsi="Arial"/>
          <w:color w:val="666666"/>
          <w:sz w:val="22"/>
        </w:rPr>
        <w:t>Antimicrobial Textile Market Analysis</w:t>
        <w:br/>
        <w:t>Competitor Chemistry Profiles • Environmental Scoring Framework</w:t>
        <w:br/>
        <w:t>Carbon Footprint • Aquatic Toxicity • Customer-Facing Messaging</w:t>
      </w:r>
    </w:p>
    <w:p/>
    <w:p/>
    <w:p>
      <w:pPr>
        <w:jc w:val="center"/>
      </w:pPr>
      <w:r>
        <w:rPr>
          <w:rFonts w:ascii="Arial" w:hAnsi="Arial"/>
          <w:color w:val="999999"/>
          <w:sz w:val="22"/>
        </w:rPr>
        <w:t>CONFIDENTIAL — March 2026</w:t>
      </w:r>
    </w:p>
    <w:p>
      <w:r>
        <w:br w:type="page"/>
      </w:r>
    </w:p>
    <w:p>
      <w:pPr>
        <w:pStyle w:val="Heading1"/>
      </w:pPr>
      <w:r>
        <w:rPr>
          <w:rFonts w:ascii="Arial" w:hAnsi="Arial"/>
          <w:color w:val="00505C"/>
        </w:rPr>
        <w:t>Executive Summary</w:t>
      </w:r>
    </w:p>
    <w:p>
      <w:pPr>
        <w:spacing w:after="120"/>
      </w:pPr>
      <w:r>
        <w:rPr>
          <w:rFonts w:ascii="Arial" w:hAnsi="Arial"/>
          <w:b w:val="0"/>
          <w:i w:val="0"/>
        </w:rPr>
        <w:t>FUZE Biotech holds a unique and defensible position in the antimicrobial textile market. With EPA-verified lifetime durability, a dosage rate nearly 1 million times lower than competitors, zero binder requirements, and no ion leaching under standard conditions, FUZE represents a paradigm shift in textile antimicrobial treatment. This report provides the comprehensive data foundation needed to build customer-facing environmental scoring, competitive pricing comparisons, and carbon footprint messaging into the FUZE Atlas platform.</w:t>
      </w:r>
    </w:p>
    <w:p>
      <w:pPr>
        <w:spacing w:after="120"/>
      </w:pPr>
      <w:r>
        <w:rPr>
          <w:rFonts w:ascii="Arial" w:hAnsi="Arial"/>
          <w:b w:val="0"/>
          <w:i w:val="0"/>
        </w:rPr>
        <w:t>Key findings: Every major competitor relies on chemistry that leaches into wastewater during home laundering (31-90% silver loss for Polygiene, 77-81% QAC loss for quat-based products). Competitors are limited to 15-50 wash claims while FUZE holds EPA approval for lifetime durability exceeding 100 washes. The environmental case for FUZE is overwhelming and quantifiable.</w:t>
      </w:r>
    </w:p>
    <w:p>
      <w:r>
        <w:br w:type="page"/>
      </w:r>
    </w:p>
    <w:p>
      <w:pPr>
        <w:pStyle w:val="Heading1"/>
      </w:pPr>
      <w:r>
        <w:rPr>
          <w:rFonts w:ascii="Arial" w:hAnsi="Arial"/>
          <w:color w:val="00505C"/>
        </w:rPr>
        <w:t>1. FUZE Technology Profile</w:t>
      </w:r>
    </w:p>
    <w:p>
      <w:pPr>
        <w:pStyle w:val="Heading2"/>
      </w:pPr>
      <w:r>
        <w:rPr>
          <w:rFonts w:ascii="Arial" w:hAnsi="Arial"/>
          <w:color w:val="00707D"/>
        </w:rPr>
        <w:t>1.1 Core Technology</w:t>
      </w:r>
    </w:p>
    <w:p>
      <w:pPr>
        <w:spacing w:after="120"/>
      </w:pPr>
      <w:r>
        <w:rPr>
          <w:rFonts w:ascii="Arial" w:hAnsi="Arial"/>
          <w:b w:val="0"/>
          <w:i w:val="0"/>
        </w:rPr>
        <w:t>FUZE is a non-ionic silver allotrope-based finish created through a multi-patented, high-volume laser fabrication process. Unlike every competitor in the market, FUZE creates a surfactant-free product with consistent, precise morphology and no ion emissions under standard and stressed conditions.</w:t>
      </w:r>
    </w:p>
    <w:p>
      <w:pPr>
        <w:spacing w:after="120"/>
      </w:pPr>
      <w:r>
        <w:rPr>
          <w:rFonts w:ascii="Arial" w:hAnsi="Arial"/>
          <w:b/>
          <w:i w:val="0"/>
        </w:rPr>
        <w:t>Key Technical Differentiators:</w:t>
      </w:r>
    </w:p>
    <w:p>
      <w:pPr>
        <w:spacing w:after="120"/>
      </w:pPr>
      <w:r>
        <w:rPr>
          <w:rFonts w:ascii="Arial" w:hAnsi="Arial"/>
          <w:b w:val="0"/>
          <w:i w:val="0"/>
          <w:sz w:val="20"/>
        </w:rPr>
        <w:t>•  Dosage: 1 mg per kg of textile — nearly 1,000,000x less than competitors</w:t>
      </w:r>
    </w:p>
    <w:p>
      <w:pPr>
        <w:spacing w:after="120"/>
      </w:pPr>
      <w:r>
        <w:rPr>
          <w:rFonts w:ascii="Arial" w:hAnsi="Arial"/>
          <w:b w:val="0"/>
          <w:i w:val="0"/>
          <w:sz w:val="20"/>
        </w:rPr>
        <w:t>•  No binder or curing agent required during textile manufacturing</w:t>
      </w:r>
    </w:p>
    <w:p>
      <w:pPr>
        <w:spacing w:after="120"/>
      </w:pPr>
      <w:r>
        <w:rPr>
          <w:rFonts w:ascii="Arial" w:hAnsi="Arial"/>
          <w:b w:val="0"/>
          <w:i w:val="0"/>
          <w:sz w:val="20"/>
        </w:rPr>
        <w:t>•  Applied via padding or fine mist embedding — no downtime, no curing</w:t>
      </w:r>
    </w:p>
    <w:p>
      <w:pPr>
        <w:spacing w:after="120"/>
      </w:pPr>
      <w:r>
        <w:rPr>
          <w:rFonts w:ascii="Arial" w:hAnsi="Arial"/>
          <w:b w:val="0"/>
          <w:i w:val="0"/>
          <w:sz w:val="20"/>
        </w:rPr>
        <w:t>•  No ion emissions under standard and stressed conditions</w:t>
      </w:r>
    </w:p>
    <w:p>
      <w:pPr>
        <w:spacing w:after="120"/>
      </w:pPr>
      <w:r>
        <w:rPr>
          <w:rFonts w:ascii="Arial" w:hAnsi="Arial"/>
          <w:b w:val="0"/>
          <w:i w:val="0"/>
          <w:sz w:val="20"/>
        </w:rPr>
        <w:t>•  Enhanced cooling, drying, and moisture-wicking capabilities</w:t>
      </w:r>
    </w:p>
    <w:p>
      <w:pPr>
        <w:spacing w:after="120"/>
      </w:pPr>
      <w:r>
        <w:rPr>
          <w:rFonts w:ascii="Arial" w:hAnsi="Arial"/>
          <w:b w:val="0"/>
          <w:i w:val="0"/>
          <w:sz w:val="20"/>
        </w:rPr>
        <w:t>•  Longer-lasting color protection as a side benefit</w:t>
      </w:r>
    </w:p>
    <w:p>
      <w:pPr>
        <w:pStyle w:val="Heading2"/>
      </w:pPr>
      <w:r>
        <w:rPr>
          <w:rFonts w:ascii="Arial" w:hAnsi="Arial"/>
          <w:color w:val="00707D"/>
        </w:rPr>
        <w:t>1.2 EPA Approval — Lifetime Durability</w:t>
      </w:r>
    </w:p>
    <w:p>
      <w:pPr>
        <w:spacing w:after="120"/>
      </w:pPr>
      <w:r>
        <w:rPr>
          <w:rFonts w:ascii="Arial" w:hAnsi="Arial"/>
          <w:b w:val="0"/>
          <w:i w:val="0"/>
        </w:rPr>
        <w:t>The U.S. EPA has verified the lifetime durability of FUZE applications in textiles and surfaces. FUZE is the ONLY antimicrobial that can legally claim to last the life of the textile it is applied to. The technology retains antimicrobial effectiveness for more than 100 washes. No competitor has this approval. This is not a marketing claim — it is a federally verified regulatory distinction.</w:t>
      </w:r>
    </w:p>
    <w:p>
      <w:pPr>
        <w:spacing w:after="120"/>
      </w:pPr>
      <w:r>
        <w:rPr>
          <w:rFonts w:ascii="Arial" w:hAnsi="Arial"/>
          <w:b w:val="0"/>
          <w:i/>
        </w:rPr>
        <w:t>FUZE is also pursuing FDA approval for medical-grade antimicrobial applications with the highest level of efficacy testing, which would further expand the addressable market.</w:t>
      </w:r>
    </w:p>
    <w:p>
      <w:r>
        <w:br w:type="page"/>
      </w:r>
    </w:p>
    <w:p>
      <w:pPr>
        <w:pStyle w:val="Heading1"/>
      </w:pPr>
      <w:r>
        <w:rPr>
          <w:rFonts w:ascii="Arial" w:hAnsi="Arial"/>
          <w:color w:val="00505C"/>
        </w:rPr>
        <w:t>2. Competitor Chemistry Profiles</w:t>
      </w:r>
    </w:p>
    <w:p>
      <w:pPr>
        <w:pStyle w:val="Heading2"/>
      </w:pPr>
      <w:r>
        <w:rPr>
          <w:rFonts w:ascii="Arial" w:hAnsi="Arial"/>
          <w:color w:val="00707D"/>
        </w:rPr>
        <w:t>2.1 Silvadur (LANXESS / formerly Dow)</w:t>
      </w:r>
    </w:p>
    <w:p>
      <w:pPr>
        <w:spacing w:after="120"/>
      </w:pPr>
      <w:r>
        <w:rPr>
          <w:rFonts w:ascii="Arial" w:hAnsi="Arial"/>
          <w:b/>
          <w:i w:val="0"/>
        </w:rPr>
        <w:t>Active Chemistry: Silver ions in organic polymer matrix</w:t>
      </w:r>
    </w:p>
    <w:p>
      <w:pPr>
        <w:spacing w:after="120"/>
      </w:pPr>
      <w:r>
        <w:rPr>
          <w:rFonts w:ascii="Arial" w:hAnsi="Arial"/>
          <w:b w:val="0"/>
          <w:i w:val="0"/>
        </w:rPr>
        <w:t>Silvadur uses a patented controlled-release polymer system that delivers silver ions to the fabric surface. It forms an insoluble, interpenetrating polymer network with embedded silver nanoparticles. Application dosage: 5–700 ppm silver delivered to fiber (vs. FUZE at ~1 ppm equivalent). At the standard odor-protection dose of 30 ppm, Silvadur claims 40 wash durability.</w:t>
      </w:r>
    </w:p>
    <w:p>
      <w:pPr>
        <w:spacing w:after="120"/>
      </w:pPr>
      <w:r>
        <w:rPr>
          <w:rFonts w:ascii="Arial" w:hAnsi="Arial"/>
          <w:b/>
          <w:i w:val="0"/>
        </w:rPr>
        <w:t>Wash Limit: 40–50 washes (at 30 ppm dosage)</w:t>
      </w:r>
    </w:p>
    <w:p>
      <w:pPr>
        <w:spacing w:after="120"/>
      </w:pPr>
      <w:r>
        <w:rPr>
          <w:rFonts w:ascii="Arial" w:hAnsi="Arial"/>
          <w:b/>
          <w:i w:val="0"/>
        </w:rPr>
        <w:t>EPA Status: Registered under FIFRA. No lifetime durability claim.</w:t>
      </w:r>
    </w:p>
    <w:p>
      <w:pPr>
        <w:spacing w:after="120"/>
      </w:pPr>
      <w:r>
        <w:rPr>
          <w:rFonts w:ascii="Arial" w:hAnsi="Arial"/>
          <w:b/>
          <w:i w:val="0"/>
          <w:color w:val="CC0000"/>
        </w:rPr>
        <w:t>Environmental Concerns:</w:t>
      </w:r>
    </w:p>
    <w:p>
      <w:pPr>
        <w:spacing w:after="120"/>
      </w:pPr>
      <w:r>
        <w:rPr>
          <w:rFonts w:ascii="Arial" w:hAnsi="Arial"/>
          <w:b w:val="0"/>
          <w:i w:val="0"/>
          <w:sz w:val="20"/>
        </w:rPr>
        <w:t>•  Silver particles released into wastewater during laundering</w:t>
        <w:br/>
        <w:t>•  End-of-life: silver continues leaching from textiles in landfill conditions (peer-reviewed finding)</w:t>
        <w:br/>
        <w:t>•  Polymer system is undisclosed — EPA label shows 99%+ "other ingredients" with no public disclosure</w:t>
        <w:br/>
        <w:t>•  Requires binder chemistry for application</w:t>
        <w:br/>
        <w:t>•  Beyond Pesticides has raised concerns about inadequate EPA exposure evaluation</w:t>
      </w:r>
    </w:p>
    <w:p>
      <w:pPr>
        <w:pStyle w:val="Heading2"/>
      </w:pPr>
      <w:r>
        <w:rPr>
          <w:rFonts w:ascii="Arial" w:hAnsi="Arial"/>
          <w:color w:val="00707D"/>
        </w:rPr>
        <w:t>2.2 Polygiene (Sweden)</w:t>
      </w:r>
    </w:p>
    <w:p>
      <w:pPr>
        <w:spacing w:after="120"/>
      </w:pPr>
      <w:r>
        <w:rPr>
          <w:rFonts w:ascii="Arial" w:hAnsi="Arial"/>
          <w:b/>
          <w:i w:val="0"/>
        </w:rPr>
        <w:t>Active Chemistry: Silver chloride (AgCl)</w:t>
      </w:r>
    </w:p>
    <w:p>
      <w:pPr>
        <w:spacing w:after="120"/>
      </w:pPr>
      <w:r>
        <w:rPr>
          <w:rFonts w:ascii="Arial" w:hAnsi="Arial"/>
          <w:b w:val="0"/>
          <w:i w:val="0"/>
        </w:rPr>
        <w:t>Polygiene StayFresh uses silver chloride, a salt naturally present in water and soil. Silver ions from the salt prevent odor-causing bacteria from multiplying. The technology is widely adopted in sportswear and outdoor apparel.</w:t>
      </w:r>
    </w:p>
    <w:p>
      <w:pPr>
        <w:spacing w:after="120"/>
      </w:pPr>
      <w:r>
        <w:rPr>
          <w:rFonts w:ascii="Arial" w:hAnsi="Arial"/>
          <w:b/>
          <w:i w:val="0"/>
        </w:rPr>
        <w:t>Wash Limit: Typically 15–30 washes in practice</w:t>
      </w:r>
    </w:p>
    <w:p>
      <w:pPr>
        <w:spacing w:after="120"/>
      </w:pPr>
      <w:r>
        <w:rPr>
          <w:rFonts w:ascii="Arial" w:hAnsi="Arial"/>
          <w:b/>
          <w:i w:val="0"/>
        </w:rPr>
        <w:t>EPA Status: Registered. No lifetime claim.</w:t>
      </w:r>
    </w:p>
    <w:p>
      <w:pPr>
        <w:spacing w:after="120"/>
      </w:pPr>
      <w:r>
        <w:rPr>
          <w:rFonts w:ascii="Arial" w:hAnsi="Arial"/>
          <w:b/>
          <w:i w:val="0"/>
          <w:color w:val="CC0000"/>
        </w:rPr>
        <w:t>Environmental Concerns:</w:t>
      </w:r>
    </w:p>
    <w:p>
      <w:pPr>
        <w:spacing w:after="120"/>
      </w:pPr>
      <w:r>
        <w:rPr>
          <w:rFonts w:ascii="Arial" w:hAnsi="Arial"/>
          <w:b w:val="0"/>
          <w:i w:val="0"/>
          <w:sz w:val="20"/>
        </w:rPr>
        <w:t>•  CRITICAL: 31–90% of silver leaches out within first 10 washes (median: 71%)</w:t>
        <w:br/>
        <w:t>•  Chloride ion exposure (sweat, detergent) INCREASES leaching rate</w:t>
        <w:br/>
        <w:t>•  Swedish Water &amp; Wastewater Association disputed Polygiene's silver sulfide safety claims, stating their assertion "is not true"</w:t>
        <w:br/>
        <w:t>•  Silver accumulates in lake and sea sediments, threatening bottom-dwelling organisms</w:t>
        <w:br/>
        <w:t>•  100% of home laundry silver release goes directly to municipal wastewater</w:t>
      </w:r>
    </w:p>
    <w:p>
      <w:pPr>
        <w:pStyle w:val="Heading2"/>
      </w:pPr>
      <w:r>
        <w:rPr>
          <w:rFonts w:ascii="Arial" w:hAnsi="Arial"/>
          <w:color w:val="00707D"/>
        </w:rPr>
        <w:t>2.3 Aegis Microbe Shield (Microban)</w:t>
      </w:r>
    </w:p>
    <w:p>
      <w:pPr>
        <w:spacing w:after="120"/>
      </w:pPr>
      <w:r>
        <w:rPr>
          <w:rFonts w:ascii="Arial" w:hAnsi="Arial"/>
          <w:b/>
          <w:i w:val="0"/>
        </w:rPr>
        <w:t>Active Chemistry: Organosilane quaternary ammonium compound (SiQAC)</w:t>
      </w:r>
    </w:p>
    <w:p>
      <w:pPr>
        <w:spacing w:after="120"/>
      </w:pPr>
      <w:r>
        <w:rPr>
          <w:rFonts w:ascii="Arial" w:hAnsi="Arial"/>
          <w:b w:val="0"/>
          <w:i w:val="0"/>
        </w:rPr>
        <w:t>AEGIS uses an organofunctional silane with a quaternary ammonium group. The silane bonds to the fabric surface creating a molecular "bed of nails" that physically ruptures microbial cell membranes. Claimed to be non-leaching and permanently bonded.</w:t>
      </w:r>
    </w:p>
    <w:p>
      <w:pPr>
        <w:spacing w:after="120"/>
      </w:pPr>
      <w:r>
        <w:rPr>
          <w:rFonts w:ascii="Arial" w:hAnsi="Arial"/>
          <w:b/>
          <w:i w:val="0"/>
        </w:rPr>
        <w:t>Wash Limit: 25 washes (standard); AEGIS Vesta claims 50 washes</w:t>
      </w:r>
    </w:p>
    <w:p>
      <w:pPr>
        <w:spacing w:after="120"/>
      </w:pPr>
      <w:r>
        <w:rPr>
          <w:rFonts w:ascii="Arial" w:hAnsi="Arial"/>
          <w:b/>
          <w:i w:val="0"/>
        </w:rPr>
        <w:t>EPA Status: Registered. No lifetime claim.</w:t>
      </w:r>
    </w:p>
    <w:p>
      <w:pPr>
        <w:spacing w:after="120"/>
      </w:pPr>
      <w:r>
        <w:rPr>
          <w:rFonts w:ascii="Arial" w:hAnsi="Arial"/>
          <w:b/>
          <w:i w:val="0"/>
          <w:color w:val="CC0000"/>
        </w:rPr>
        <w:t>Environmental Concerns:</w:t>
      </w:r>
    </w:p>
    <w:p>
      <w:pPr>
        <w:spacing w:after="120"/>
      </w:pPr>
      <w:r>
        <w:rPr>
          <w:rFonts w:ascii="Arial" w:hAnsi="Arial"/>
          <w:b w:val="0"/>
          <w:i w:val="0"/>
          <w:sz w:val="20"/>
        </w:rPr>
        <w:t>•  QAC class recognized as "chemical class of emerging concern" (Environmental Science &amp; Technology, 2023)</w:t>
        <w:br/>
        <w:t>•  QAC leaching from textiles: 55–81% released into laundry wastewater</w:t>
        <w:br/>
        <w:t>•  Toxic to aquatic organisms: Daphnia magna EC50 as low as 5.8 μg/L</w:t>
        <w:br/>
        <w:t>•  Suspected developmental and reproductive toxicity in mammals</w:t>
        <w:br/>
        <w:t>•  Disrupts biological wastewater treatment processes</w:t>
        <w:br/>
        <w:t>•  End-of-life: decomposes to CO2, nitrous oxide, silicon dioxide (5-year landfill breakdown)</w:t>
      </w:r>
    </w:p>
    <w:p>
      <w:pPr>
        <w:pStyle w:val="Heading2"/>
      </w:pPr>
      <w:r>
        <w:rPr>
          <w:rFonts w:ascii="Arial" w:hAnsi="Arial"/>
          <w:color w:val="00707D"/>
        </w:rPr>
        <w:t>2.4 Sanitized AG (Switzerland)</w:t>
      </w:r>
    </w:p>
    <w:p>
      <w:pPr>
        <w:spacing w:after="120"/>
      </w:pPr>
      <w:r>
        <w:rPr>
          <w:rFonts w:ascii="Arial" w:hAnsi="Arial"/>
          <w:b/>
          <w:i w:val="0"/>
        </w:rPr>
        <w:t>Active Chemistry: Silver ions in carrier system + SilanQuat (Puretec)</w:t>
      </w:r>
    </w:p>
    <w:p>
      <w:pPr>
        <w:spacing w:after="120"/>
      </w:pPr>
      <w:r>
        <w:rPr>
          <w:rFonts w:ascii="Arial" w:hAnsi="Arial"/>
          <w:b w:val="0"/>
          <w:i w:val="0"/>
        </w:rPr>
        <w:t>Sanitized offers dual technology lines: silver-based products with silver ions embedded in a carrier system, and Puretec which uses silane quaternary ammonium compounds (SilanQuat) combined with polymer science. Also offers QAC salt-based products (T20-19) for cellulosic fibers.</w:t>
      </w:r>
    </w:p>
    <w:p>
      <w:pPr>
        <w:spacing w:after="120"/>
      </w:pPr>
      <w:r>
        <w:rPr>
          <w:rFonts w:ascii="Arial" w:hAnsi="Arial"/>
          <w:b/>
          <w:i w:val="0"/>
        </w:rPr>
        <w:t>Wash Limit: 15–30 washes typical</w:t>
      </w:r>
    </w:p>
    <w:p>
      <w:pPr>
        <w:spacing w:after="120"/>
      </w:pPr>
      <w:r>
        <w:rPr>
          <w:rFonts w:ascii="Arial" w:hAnsi="Arial"/>
          <w:b/>
          <w:i w:val="0"/>
        </w:rPr>
        <w:t>EPA Status: Registered. No lifetime claim.</w:t>
      </w:r>
    </w:p>
    <w:p>
      <w:pPr>
        <w:spacing w:after="120"/>
      </w:pPr>
      <w:r>
        <w:rPr>
          <w:rFonts w:ascii="Arial" w:hAnsi="Arial"/>
          <w:b/>
          <w:i w:val="0"/>
          <w:color w:val="CC0000"/>
        </w:rPr>
        <w:t>Environmental Concerns:</w:t>
      </w:r>
    </w:p>
    <w:p>
      <w:pPr>
        <w:spacing w:after="120"/>
      </w:pPr>
      <w:r>
        <w:rPr>
          <w:rFonts w:ascii="Arial" w:hAnsi="Arial"/>
          <w:b w:val="0"/>
          <w:i w:val="0"/>
          <w:sz w:val="20"/>
        </w:rPr>
        <w:t>•  Silver line: same leaching concerns as Polygiene (silver chloride base)</w:t>
        <w:br/>
        <w:t>•  QAC line: same emerging contaminant concerns as Aegis</w:t>
        <w:br/>
        <w:t>•  Dual chemistry approach means dual environmental exposure profiles</w:t>
        <w:br/>
        <w:t>•  QAC leaching rates from textiles: 55–81% into wash water</w:t>
      </w:r>
    </w:p>
    <w:p>
      <w:pPr>
        <w:pStyle w:val="Heading2"/>
      </w:pPr>
      <w:r>
        <w:rPr>
          <w:rFonts w:ascii="Arial" w:hAnsi="Arial"/>
          <w:color w:val="00707D"/>
        </w:rPr>
        <w:t>2.5 HeiQ (Switzerland)</w:t>
      </w:r>
    </w:p>
    <w:p>
      <w:pPr>
        <w:spacing w:after="120"/>
      </w:pPr>
      <w:r>
        <w:rPr>
          <w:rFonts w:ascii="Arial" w:hAnsi="Arial"/>
          <w:b/>
          <w:i w:val="0"/>
        </w:rPr>
        <w:t>Active Chemistry: Zinc nanoparticles (Crescoating) + recycled silver (Viroblock)</w:t>
      </w:r>
    </w:p>
    <w:p>
      <w:pPr>
        <w:spacing w:after="120"/>
      </w:pPr>
      <w:r>
        <w:rPr>
          <w:rFonts w:ascii="Arial" w:hAnsi="Arial"/>
          <w:b w:val="0"/>
          <w:i w:val="0"/>
        </w:rPr>
        <w:t>HeiQ uses a novel "Crescoating" process where zinc nanoparticles are grown in-situ within fabrics. Their Viroblock product adds recycled silver and fatty liposome vesicles for antiviral claims. Claims efficacy of 99.99% to 99.9999% bacterial reduction.</w:t>
      </w:r>
    </w:p>
    <w:p>
      <w:pPr>
        <w:spacing w:after="120"/>
      </w:pPr>
      <w:r>
        <w:rPr>
          <w:rFonts w:ascii="Arial" w:hAnsi="Arial"/>
          <w:b/>
          <w:i w:val="0"/>
        </w:rPr>
        <w:t>Wash Limit: 15–30 washes</w:t>
      </w:r>
    </w:p>
    <w:p>
      <w:pPr>
        <w:spacing w:after="120"/>
      </w:pPr>
      <w:r>
        <w:rPr>
          <w:rFonts w:ascii="Arial" w:hAnsi="Arial"/>
          <w:b/>
          <w:i w:val="0"/>
        </w:rPr>
        <w:t>EPA Status: Registered. No lifetime claim.</w:t>
      </w:r>
    </w:p>
    <w:p>
      <w:pPr>
        <w:spacing w:after="120"/>
      </w:pPr>
      <w:r>
        <w:rPr>
          <w:rFonts w:ascii="Arial" w:hAnsi="Arial"/>
          <w:b/>
          <w:i w:val="0"/>
          <w:color w:val="CC0000"/>
        </w:rPr>
        <w:t>Environmental Concerns:</w:t>
      </w:r>
    </w:p>
    <w:p>
      <w:pPr>
        <w:spacing w:after="120"/>
      </w:pPr>
      <w:r>
        <w:rPr>
          <w:rFonts w:ascii="Arial" w:hAnsi="Arial"/>
          <w:b w:val="0"/>
          <w:i w:val="0"/>
          <w:sz w:val="20"/>
        </w:rPr>
        <w:t>•  Silver nanoparticle emission can be as high as 80% during first wash</w:t>
        <w:br/>
        <w:t>•  Zinc nanoparticles show potential for bioaccumulation in aquatic food chains</w:t>
        <w:br/>
        <w:t>•  Nanoparticles can disrupt biological treatment in wastewater facilities</w:t>
        <w:br/>
        <w:t>•  Dual metal system (Ag + Zn) doubles the heavy metal load per garment</w:t>
      </w:r>
    </w:p>
    <w:p>
      <w:r>
        <w:br w:type="page"/>
      </w:r>
    </w:p>
    <w:p>
      <w:pPr>
        <w:pStyle w:val="Heading1"/>
      </w:pPr>
      <w:r>
        <w:rPr>
          <w:rFonts w:ascii="Arial" w:hAnsi="Arial"/>
          <w:color w:val="00505C"/>
        </w:rPr>
        <w:t>3. Head-to-Head Comparison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505C" w:val="clear"/>
          </w:tcPr>
          <w:p>
            <w:r/>
            <w:r>
              <w:rPr>
                <w:rFonts w:ascii="Arial" w:hAnsi="Arial"/>
                <w:b/>
                <w:color w:val="FFFFFF"/>
                <w:sz w:val="16"/>
              </w:rPr>
              <w:t>Feature</w:t>
            </w:r>
          </w:p>
        </w:tc>
        <w:tc>
          <w:tcPr>
            <w:tcW w:type="dxa" w:w="1560"/>
            <w:shd w:fill="00505C" w:val="clear"/>
          </w:tcPr>
          <w:p>
            <w:r/>
            <w:r>
              <w:rPr>
                <w:rFonts w:ascii="Arial" w:hAnsi="Arial"/>
                <w:b/>
                <w:color w:val="FFFFFF"/>
                <w:sz w:val="16"/>
              </w:rPr>
              <w:t>FUZE</w:t>
            </w:r>
          </w:p>
        </w:tc>
        <w:tc>
          <w:tcPr>
            <w:tcW w:type="dxa" w:w="1560"/>
            <w:shd w:fill="00505C" w:val="clear"/>
          </w:tcPr>
          <w:p>
            <w:r/>
            <w:r>
              <w:rPr>
                <w:rFonts w:ascii="Arial" w:hAnsi="Arial"/>
                <w:b/>
                <w:color w:val="FFFFFF"/>
                <w:sz w:val="16"/>
              </w:rPr>
              <w:t>Silvadur</w:t>
            </w:r>
          </w:p>
        </w:tc>
        <w:tc>
          <w:tcPr>
            <w:tcW w:type="dxa" w:w="1560"/>
            <w:shd w:fill="00505C" w:val="clear"/>
          </w:tcPr>
          <w:p>
            <w:r/>
            <w:r>
              <w:rPr>
                <w:rFonts w:ascii="Arial" w:hAnsi="Arial"/>
                <w:b/>
                <w:color w:val="FFFFFF"/>
                <w:sz w:val="16"/>
              </w:rPr>
              <w:t>Polygiene</w:t>
            </w:r>
          </w:p>
        </w:tc>
        <w:tc>
          <w:tcPr>
            <w:tcW w:type="dxa" w:w="1560"/>
            <w:shd w:fill="00505C" w:val="clear"/>
          </w:tcPr>
          <w:p>
            <w:r/>
            <w:r>
              <w:rPr>
                <w:rFonts w:ascii="Arial" w:hAnsi="Arial"/>
                <w:b/>
                <w:color w:val="FFFFFF"/>
                <w:sz w:val="16"/>
              </w:rPr>
              <w:t>Aegis</w:t>
            </w:r>
          </w:p>
        </w:tc>
        <w:tc>
          <w:tcPr>
            <w:tcW w:type="dxa" w:w="1560"/>
            <w:shd w:fill="00505C" w:val="clear"/>
          </w:tcPr>
          <w:p>
            <w:r/>
            <w:r>
              <w:rPr>
                <w:rFonts w:ascii="Arial" w:hAnsi="Arial"/>
                <w:b/>
                <w:color w:val="FFFFFF"/>
                <w:sz w:val="16"/>
              </w:rPr>
              <w:t>HeiQ</w:t>
            </w:r>
          </w:p>
        </w:tc>
      </w:tr>
      <w:tr>
        <w:tc>
          <w:tcPr>
            <w:tcW w:type="dxa" w:w="1560"/>
          </w:tcPr>
          <w:p>
            <w:r/>
            <w:r>
              <w:rPr>
                <w:rFonts w:ascii="Arial" w:hAnsi="Arial"/>
                <w:sz w:val="16"/>
              </w:rPr>
              <w:t>Active Agent</w:t>
            </w:r>
          </w:p>
        </w:tc>
        <w:tc>
          <w:tcPr>
            <w:tcW w:type="dxa" w:w="1560"/>
          </w:tcPr>
          <w:p>
            <w:r/>
            <w:r>
              <w:rPr>
                <w:rFonts w:ascii="Arial" w:hAnsi="Arial"/>
                <w:b/>
                <w:color w:val="00707D"/>
                <w:sz w:val="16"/>
              </w:rPr>
              <w:t>Silver allotrope (non-ionic)</w:t>
            </w:r>
          </w:p>
        </w:tc>
        <w:tc>
          <w:tcPr>
            <w:tcW w:type="dxa" w:w="1560"/>
          </w:tcPr>
          <w:p>
            <w:r/>
            <w:r>
              <w:rPr>
                <w:rFonts w:ascii="Arial" w:hAnsi="Arial"/>
                <w:sz w:val="16"/>
              </w:rPr>
              <w:t>Silver ions in polymer</w:t>
            </w:r>
          </w:p>
        </w:tc>
        <w:tc>
          <w:tcPr>
            <w:tcW w:type="dxa" w:w="1560"/>
          </w:tcPr>
          <w:p>
            <w:r/>
            <w:r>
              <w:rPr>
                <w:rFonts w:ascii="Arial" w:hAnsi="Arial"/>
                <w:sz w:val="16"/>
              </w:rPr>
              <w:t>Silver chloride</w:t>
            </w:r>
          </w:p>
        </w:tc>
        <w:tc>
          <w:tcPr>
            <w:tcW w:type="dxa" w:w="1560"/>
          </w:tcPr>
          <w:p>
            <w:r/>
            <w:r>
              <w:rPr>
                <w:rFonts w:ascii="Arial" w:hAnsi="Arial"/>
                <w:sz w:val="16"/>
              </w:rPr>
              <w:t>Organosilane QAC</w:t>
            </w:r>
          </w:p>
        </w:tc>
        <w:tc>
          <w:tcPr>
            <w:tcW w:type="dxa" w:w="1560"/>
          </w:tcPr>
          <w:p>
            <w:r/>
            <w:r>
              <w:rPr>
                <w:rFonts w:ascii="Arial" w:hAnsi="Arial"/>
                <w:sz w:val="16"/>
              </w:rPr>
              <w:t>Zinc NP + Silver</w:t>
            </w:r>
          </w:p>
        </w:tc>
      </w:tr>
      <w:tr>
        <w:tc>
          <w:tcPr>
            <w:tcW w:type="dxa" w:w="1560"/>
          </w:tcPr>
          <w:p>
            <w:r/>
            <w:r>
              <w:rPr>
                <w:rFonts w:ascii="Arial" w:hAnsi="Arial"/>
                <w:sz w:val="16"/>
              </w:rPr>
              <w:t>Dosage</w:t>
            </w:r>
          </w:p>
        </w:tc>
        <w:tc>
          <w:tcPr>
            <w:tcW w:type="dxa" w:w="1560"/>
          </w:tcPr>
          <w:p>
            <w:r/>
            <w:r>
              <w:rPr>
                <w:rFonts w:ascii="Arial" w:hAnsi="Arial"/>
                <w:b/>
                <w:color w:val="00707D"/>
                <w:sz w:val="16"/>
              </w:rPr>
              <w:t>~1 mg/kg</w:t>
            </w:r>
          </w:p>
        </w:tc>
        <w:tc>
          <w:tcPr>
            <w:tcW w:type="dxa" w:w="1560"/>
          </w:tcPr>
          <w:p>
            <w:r/>
            <w:r>
              <w:rPr>
                <w:rFonts w:ascii="Arial" w:hAnsi="Arial"/>
                <w:sz w:val="16"/>
              </w:rPr>
              <w:t>5-700 ppm</w:t>
            </w:r>
          </w:p>
        </w:tc>
        <w:tc>
          <w:tcPr>
            <w:tcW w:type="dxa" w:w="1560"/>
          </w:tcPr>
          <w:p>
            <w:r/>
            <w:r>
              <w:rPr>
                <w:rFonts w:ascii="Arial" w:hAnsi="Arial"/>
                <w:sz w:val="16"/>
              </w:rPr>
              <w:t>Not disclosed</w:t>
            </w:r>
          </w:p>
        </w:tc>
        <w:tc>
          <w:tcPr>
            <w:tcW w:type="dxa" w:w="1560"/>
          </w:tcPr>
          <w:p>
            <w:r/>
            <w:r>
              <w:rPr>
                <w:rFonts w:ascii="Arial" w:hAnsi="Arial"/>
                <w:sz w:val="16"/>
              </w:rPr>
              <w:t>Not disclosed</w:t>
            </w:r>
          </w:p>
        </w:tc>
        <w:tc>
          <w:tcPr>
            <w:tcW w:type="dxa" w:w="1560"/>
          </w:tcPr>
          <w:p>
            <w:r/>
            <w:r>
              <w:rPr>
                <w:rFonts w:ascii="Arial" w:hAnsi="Arial"/>
                <w:sz w:val="16"/>
              </w:rPr>
              <w:t>Not disclosed</w:t>
            </w:r>
          </w:p>
        </w:tc>
      </w:tr>
      <w:tr>
        <w:tc>
          <w:tcPr>
            <w:tcW w:type="dxa" w:w="1560"/>
          </w:tcPr>
          <w:p>
            <w:r/>
            <w:r>
              <w:rPr>
                <w:rFonts w:ascii="Arial" w:hAnsi="Arial"/>
                <w:sz w:val="16"/>
              </w:rPr>
              <w:t>EPA Lifetime Claim</w:t>
            </w:r>
          </w:p>
        </w:tc>
        <w:tc>
          <w:tcPr>
            <w:tcW w:type="dxa" w:w="1560"/>
          </w:tcPr>
          <w:p>
            <w:r/>
            <w:r>
              <w:rPr>
                <w:rFonts w:ascii="Arial" w:hAnsi="Arial"/>
                <w:b/>
                <w:color w:val="00707D"/>
                <w:sz w:val="16"/>
              </w:rPr>
              <w:t>YES ✓</w:t>
            </w:r>
          </w:p>
        </w:tc>
        <w:tc>
          <w:tcPr>
            <w:tcW w:type="dxa" w:w="1560"/>
          </w:tcPr>
          <w:p>
            <w:r/>
            <w:r>
              <w:rPr>
                <w:rFonts w:ascii="Arial" w:hAnsi="Arial"/>
                <w:sz w:val="16"/>
              </w:rPr>
              <w:t>NO</w:t>
            </w:r>
          </w:p>
        </w:tc>
        <w:tc>
          <w:tcPr>
            <w:tcW w:type="dxa" w:w="1560"/>
          </w:tcPr>
          <w:p>
            <w:r/>
            <w:r>
              <w:rPr>
                <w:rFonts w:ascii="Arial" w:hAnsi="Arial"/>
                <w:sz w:val="16"/>
              </w:rPr>
              <w:t>NO</w:t>
            </w:r>
          </w:p>
        </w:tc>
        <w:tc>
          <w:tcPr>
            <w:tcW w:type="dxa" w:w="1560"/>
          </w:tcPr>
          <w:p>
            <w:r/>
            <w:r>
              <w:rPr>
                <w:rFonts w:ascii="Arial" w:hAnsi="Arial"/>
                <w:sz w:val="16"/>
              </w:rPr>
              <w:t>NO</w:t>
            </w:r>
          </w:p>
        </w:tc>
        <w:tc>
          <w:tcPr>
            <w:tcW w:type="dxa" w:w="1560"/>
          </w:tcPr>
          <w:p>
            <w:r/>
            <w:r>
              <w:rPr>
                <w:rFonts w:ascii="Arial" w:hAnsi="Arial"/>
                <w:sz w:val="16"/>
              </w:rPr>
              <w:t>NO</w:t>
            </w:r>
          </w:p>
        </w:tc>
      </w:tr>
      <w:tr>
        <w:tc>
          <w:tcPr>
            <w:tcW w:type="dxa" w:w="1560"/>
          </w:tcPr>
          <w:p>
            <w:r/>
            <w:r>
              <w:rPr>
                <w:rFonts w:ascii="Arial" w:hAnsi="Arial"/>
                <w:sz w:val="16"/>
              </w:rPr>
              <w:t>Max Wash Claims</w:t>
            </w:r>
          </w:p>
        </w:tc>
        <w:tc>
          <w:tcPr>
            <w:tcW w:type="dxa" w:w="1560"/>
          </w:tcPr>
          <w:p>
            <w:r/>
            <w:r>
              <w:rPr>
                <w:rFonts w:ascii="Arial" w:hAnsi="Arial"/>
                <w:b/>
                <w:color w:val="00707D"/>
                <w:sz w:val="16"/>
              </w:rPr>
              <w:t>100+ (lifetime)</w:t>
            </w:r>
          </w:p>
        </w:tc>
        <w:tc>
          <w:tcPr>
            <w:tcW w:type="dxa" w:w="1560"/>
          </w:tcPr>
          <w:p>
            <w:r/>
            <w:r>
              <w:rPr>
                <w:rFonts w:ascii="Arial" w:hAnsi="Arial"/>
                <w:sz w:val="16"/>
              </w:rPr>
              <w:t>40-50</w:t>
            </w:r>
          </w:p>
        </w:tc>
        <w:tc>
          <w:tcPr>
            <w:tcW w:type="dxa" w:w="1560"/>
          </w:tcPr>
          <w:p>
            <w:r/>
            <w:r>
              <w:rPr>
                <w:rFonts w:ascii="Arial" w:hAnsi="Arial"/>
                <w:sz w:val="16"/>
              </w:rPr>
              <w:t>15-30</w:t>
            </w:r>
          </w:p>
        </w:tc>
        <w:tc>
          <w:tcPr>
            <w:tcW w:type="dxa" w:w="1560"/>
          </w:tcPr>
          <w:p>
            <w:r/>
            <w:r>
              <w:rPr>
                <w:rFonts w:ascii="Arial" w:hAnsi="Arial"/>
                <w:sz w:val="16"/>
              </w:rPr>
              <w:t>25-50</w:t>
            </w:r>
          </w:p>
        </w:tc>
        <w:tc>
          <w:tcPr>
            <w:tcW w:type="dxa" w:w="1560"/>
          </w:tcPr>
          <w:p>
            <w:r/>
            <w:r>
              <w:rPr>
                <w:rFonts w:ascii="Arial" w:hAnsi="Arial"/>
                <w:sz w:val="16"/>
              </w:rPr>
              <w:t>15-30</w:t>
            </w:r>
          </w:p>
        </w:tc>
      </w:tr>
      <w:tr>
        <w:tc>
          <w:tcPr>
            <w:tcW w:type="dxa" w:w="1560"/>
          </w:tcPr>
          <w:p>
            <w:r/>
            <w:r>
              <w:rPr>
                <w:rFonts w:ascii="Arial" w:hAnsi="Arial"/>
                <w:sz w:val="16"/>
              </w:rPr>
              <w:t>Binder Required</w:t>
            </w:r>
          </w:p>
        </w:tc>
        <w:tc>
          <w:tcPr>
            <w:tcW w:type="dxa" w:w="1560"/>
          </w:tcPr>
          <w:p>
            <w:r/>
            <w:r>
              <w:rPr>
                <w:rFonts w:ascii="Arial" w:hAnsi="Arial"/>
                <w:b/>
                <w:color w:val="00707D"/>
                <w:sz w:val="16"/>
              </w:rPr>
              <w:t>NO</w:t>
            </w:r>
          </w:p>
        </w:tc>
        <w:tc>
          <w:tcPr>
            <w:tcW w:type="dxa" w:w="1560"/>
          </w:tcPr>
          <w:p>
            <w:r/>
            <w:r>
              <w:rPr>
                <w:rFonts w:ascii="Arial" w:hAnsi="Arial"/>
                <w:sz w:val="16"/>
              </w:rPr>
              <w:t>YES</w:t>
            </w:r>
          </w:p>
        </w:tc>
        <w:tc>
          <w:tcPr>
            <w:tcW w:type="dxa" w:w="1560"/>
          </w:tcPr>
          <w:p>
            <w:r/>
            <w:r>
              <w:rPr>
                <w:rFonts w:ascii="Arial" w:hAnsi="Arial"/>
                <w:sz w:val="16"/>
              </w:rPr>
              <w:t>YES</w:t>
            </w:r>
          </w:p>
        </w:tc>
        <w:tc>
          <w:tcPr>
            <w:tcW w:type="dxa" w:w="1560"/>
          </w:tcPr>
          <w:p>
            <w:r/>
            <w:r>
              <w:rPr>
                <w:rFonts w:ascii="Arial" w:hAnsi="Arial"/>
                <w:sz w:val="16"/>
              </w:rPr>
              <w:t>YES</w:t>
            </w:r>
          </w:p>
        </w:tc>
        <w:tc>
          <w:tcPr>
            <w:tcW w:type="dxa" w:w="1560"/>
          </w:tcPr>
          <w:p>
            <w:r/>
            <w:r>
              <w:rPr>
                <w:rFonts w:ascii="Arial" w:hAnsi="Arial"/>
                <w:sz w:val="16"/>
              </w:rPr>
              <w:t>YES</w:t>
            </w:r>
          </w:p>
        </w:tc>
      </w:tr>
      <w:tr>
        <w:tc>
          <w:tcPr>
            <w:tcW w:type="dxa" w:w="1560"/>
          </w:tcPr>
          <w:p>
            <w:r/>
            <w:r>
              <w:rPr>
                <w:rFonts w:ascii="Arial" w:hAnsi="Arial"/>
                <w:sz w:val="16"/>
              </w:rPr>
              <w:t>Curing Required</w:t>
            </w:r>
          </w:p>
        </w:tc>
        <w:tc>
          <w:tcPr>
            <w:tcW w:type="dxa" w:w="1560"/>
          </w:tcPr>
          <w:p>
            <w:r/>
            <w:r>
              <w:rPr>
                <w:rFonts w:ascii="Arial" w:hAnsi="Arial"/>
                <w:b/>
                <w:color w:val="00707D"/>
                <w:sz w:val="16"/>
              </w:rPr>
              <w:t>NO</w:t>
            </w:r>
          </w:p>
        </w:tc>
        <w:tc>
          <w:tcPr>
            <w:tcW w:type="dxa" w:w="1560"/>
          </w:tcPr>
          <w:p>
            <w:r/>
            <w:r>
              <w:rPr>
                <w:rFonts w:ascii="Arial" w:hAnsi="Arial"/>
                <w:sz w:val="16"/>
              </w:rPr>
              <w:t>YES</w:t>
            </w:r>
          </w:p>
        </w:tc>
        <w:tc>
          <w:tcPr>
            <w:tcW w:type="dxa" w:w="1560"/>
          </w:tcPr>
          <w:p>
            <w:r/>
            <w:r>
              <w:rPr>
                <w:rFonts w:ascii="Arial" w:hAnsi="Arial"/>
                <w:sz w:val="16"/>
              </w:rPr>
              <w:t>YES</w:t>
            </w:r>
          </w:p>
        </w:tc>
        <w:tc>
          <w:tcPr>
            <w:tcW w:type="dxa" w:w="1560"/>
          </w:tcPr>
          <w:p>
            <w:r/>
            <w:r>
              <w:rPr>
                <w:rFonts w:ascii="Arial" w:hAnsi="Arial"/>
                <w:sz w:val="16"/>
              </w:rPr>
              <w:t>YES</w:t>
            </w:r>
          </w:p>
        </w:tc>
        <w:tc>
          <w:tcPr>
            <w:tcW w:type="dxa" w:w="1560"/>
          </w:tcPr>
          <w:p>
            <w:r/>
            <w:r>
              <w:rPr>
                <w:rFonts w:ascii="Arial" w:hAnsi="Arial"/>
                <w:sz w:val="16"/>
              </w:rPr>
              <w:t>YES</w:t>
            </w:r>
          </w:p>
        </w:tc>
      </w:tr>
      <w:tr>
        <w:tc>
          <w:tcPr>
            <w:tcW w:type="dxa" w:w="1560"/>
          </w:tcPr>
          <w:p>
            <w:r/>
            <w:r>
              <w:rPr>
                <w:rFonts w:ascii="Arial" w:hAnsi="Arial"/>
                <w:sz w:val="16"/>
              </w:rPr>
              <w:t>Ion Leaching</w:t>
            </w:r>
          </w:p>
        </w:tc>
        <w:tc>
          <w:tcPr>
            <w:tcW w:type="dxa" w:w="1560"/>
          </w:tcPr>
          <w:p>
            <w:r/>
            <w:r>
              <w:rPr>
                <w:rFonts w:ascii="Arial" w:hAnsi="Arial"/>
                <w:b/>
                <w:color w:val="00707D"/>
                <w:sz w:val="16"/>
              </w:rPr>
              <w:t>NONE</w:t>
            </w:r>
          </w:p>
        </w:tc>
        <w:tc>
          <w:tcPr>
            <w:tcW w:type="dxa" w:w="1560"/>
          </w:tcPr>
          <w:p>
            <w:r/>
            <w:r>
              <w:rPr>
                <w:rFonts w:ascii="Arial" w:hAnsi="Arial"/>
                <w:sz w:val="16"/>
              </w:rPr>
              <w:t>Controlled release</w:t>
            </w:r>
          </w:p>
        </w:tc>
        <w:tc>
          <w:tcPr>
            <w:tcW w:type="dxa" w:w="1560"/>
          </w:tcPr>
          <w:p>
            <w:r/>
            <w:r>
              <w:rPr>
                <w:rFonts w:ascii="Arial" w:hAnsi="Arial"/>
                <w:color w:val="CC0000"/>
                <w:sz w:val="16"/>
              </w:rPr>
              <w:t>31-90% in 10 washes</w:t>
            </w:r>
          </w:p>
        </w:tc>
        <w:tc>
          <w:tcPr>
            <w:tcW w:type="dxa" w:w="1560"/>
          </w:tcPr>
          <w:p>
            <w:r/>
            <w:r>
              <w:rPr>
                <w:rFonts w:ascii="Arial" w:hAnsi="Arial"/>
                <w:color w:val="CC0000"/>
                <w:sz w:val="16"/>
              </w:rPr>
              <w:t>55-81% QAC loss</w:t>
            </w:r>
          </w:p>
        </w:tc>
        <w:tc>
          <w:tcPr>
            <w:tcW w:type="dxa" w:w="1560"/>
          </w:tcPr>
          <w:p>
            <w:r/>
            <w:r>
              <w:rPr>
                <w:rFonts w:ascii="Arial" w:hAnsi="Arial"/>
                <w:color w:val="CC0000"/>
                <w:sz w:val="16"/>
              </w:rPr>
              <w:t>80% first wash (Ag)</w:t>
            </w:r>
          </w:p>
        </w:tc>
      </w:tr>
      <w:tr>
        <w:tc>
          <w:tcPr>
            <w:tcW w:type="dxa" w:w="1560"/>
          </w:tcPr>
          <w:p>
            <w:r/>
            <w:r>
              <w:rPr>
                <w:rFonts w:ascii="Arial" w:hAnsi="Arial"/>
                <w:sz w:val="16"/>
              </w:rPr>
              <w:t>Heavy Metals Released</w:t>
            </w:r>
          </w:p>
        </w:tc>
        <w:tc>
          <w:tcPr>
            <w:tcW w:type="dxa" w:w="1560"/>
          </w:tcPr>
          <w:p>
            <w:r/>
            <w:r>
              <w:rPr>
                <w:rFonts w:ascii="Arial" w:hAnsi="Arial"/>
                <w:b/>
                <w:color w:val="00707D"/>
                <w:sz w:val="16"/>
              </w:rPr>
              <w:t>NONE</w:t>
            </w:r>
          </w:p>
        </w:tc>
        <w:tc>
          <w:tcPr>
            <w:tcW w:type="dxa" w:w="1560"/>
          </w:tcPr>
          <w:p>
            <w:r/>
            <w:r>
              <w:rPr>
                <w:rFonts w:ascii="Arial" w:hAnsi="Arial"/>
                <w:sz w:val="16"/>
              </w:rPr>
              <w:t>Silver</w:t>
            </w:r>
          </w:p>
        </w:tc>
        <w:tc>
          <w:tcPr>
            <w:tcW w:type="dxa" w:w="1560"/>
          </w:tcPr>
          <w:p>
            <w:r/>
            <w:r>
              <w:rPr>
                <w:rFonts w:ascii="Arial" w:hAnsi="Arial"/>
                <w:sz w:val="16"/>
              </w:rPr>
              <w:t>Silver</w:t>
            </w:r>
          </w:p>
        </w:tc>
        <w:tc>
          <w:tcPr>
            <w:tcW w:type="dxa" w:w="1560"/>
          </w:tcPr>
          <w:p>
            <w:r/>
            <w:r>
              <w:rPr>
                <w:rFonts w:ascii="Arial" w:hAnsi="Arial"/>
                <w:sz w:val="16"/>
              </w:rPr>
              <w:t>None (QAC)</w:t>
            </w:r>
          </w:p>
        </w:tc>
        <w:tc>
          <w:tcPr>
            <w:tcW w:type="dxa" w:w="1560"/>
          </w:tcPr>
          <w:p>
            <w:r/>
            <w:r>
              <w:rPr>
                <w:rFonts w:ascii="Arial" w:hAnsi="Arial"/>
                <w:sz w:val="16"/>
              </w:rPr>
              <w:t>Silver + Zinc</w:t>
            </w:r>
          </w:p>
        </w:tc>
      </w:tr>
      <w:tr>
        <w:tc>
          <w:tcPr>
            <w:tcW w:type="dxa" w:w="1560"/>
          </w:tcPr>
          <w:p>
            <w:r/>
            <w:r>
              <w:rPr>
                <w:rFonts w:ascii="Arial" w:hAnsi="Arial"/>
                <w:sz w:val="16"/>
              </w:rPr>
              <w:t>Wastewater Impact</w:t>
            </w:r>
          </w:p>
        </w:tc>
        <w:tc>
          <w:tcPr>
            <w:tcW w:type="dxa" w:w="1560"/>
          </w:tcPr>
          <w:p>
            <w:r/>
            <w:r>
              <w:rPr>
                <w:rFonts w:ascii="Arial" w:hAnsi="Arial"/>
                <w:b/>
                <w:color w:val="00707D"/>
                <w:sz w:val="16"/>
              </w:rPr>
              <w:t>NONE</w:t>
            </w:r>
          </w:p>
        </w:tc>
        <w:tc>
          <w:tcPr>
            <w:tcW w:type="dxa" w:w="1560"/>
          </w:tcPr>
          <w:p>
            <w:r/>
            <w:r>
              <w:rPr>
                <w:rFonts w:ascii="Arial" w:hAnsi="Arial"/>
                <w:sz w:val="16"/>
              </w:rPr>
              <w:t>Moderate</w:t>
            </w:r>
          </w:p>
        </w:tc>
        <w:tc>
          <w:tcPr>
            <w:tcW w:type="dxa" w:w="1560"/>
          </w:tcPr>
          <w:p>
            <w:r/>
            <w:r>
              <w:rPr>
                <w:rFonts w:ascii="Arial" w:hAnsi="Arial"/>
                <w:color w:val="CC0000"/>
                <w:sz w:val="16"/>
              </w:rPr>
              <w:t>HIGH</w:t>
            </w:r>
          </w:p>
        </w:tc>
        <w:tc>
          <w:tcPr>
            <w:tcW w:type="dxa" w:w="1560"/>
          </w:tcPr>
          <w:p>
            <w:r/>
            <w:r>
              <w:rPr>
                <w:rFonts w:ascii="Arial" w:hAnsi="Arial"/>
                <w:color w:val="CC0000"/>
                <w:sz w:val="16"/>
              </w:rPr>
              <w:t>HIGH (QAC toxic)</w:t>
            </w:r>
          </w:p>
        </w:tc>
        <w:tc>
          <w:tcPr>
            <w:tcW w:type="dxa" w:w="1560"/>
          </w:tcPr>
          <w:p>
            <w:r/>
            <w:r>
              <w:rPr>
                <w:rFonts w:ascii="Arial" w:hAnsi="Arial"/>
                <w:color w:val="CC0000"/>
                <w:sz w:val="16"/>
              </w:rPr>
              <w:t>HIGH (dual metal)</w:t>
            </w:r>
          </w:p>
        </w:tc>
      </w:tr>
      <w:tr>
        <w:tc>
          <w:tcPr>
            <w:tcW w:type="dxa" w:w="1560"/>
          </w:tcPr>
          <w:p>
            <w:r/>
            <w:r>
              <w:rPr>
                <w:rFonts w:ascii="Arial" w:hAnsi="Arial"/>
                <w:sz w:val="16"/>
              </w:rPr>
              <w:t>Carbon Footprint</w:t>
            </w:r>
          </w:p>
        </w:tc>
        <w:tc>
          <w:tcPr>
            <w:tcW w:type="dxa" w:w="1560"/>
          </w:tcPr>
          <w:p>
            <w:r/>
            <w:r>
              <w:rPr>
                <w:rFonts w:ascii="Arial" w:hAnsi="Arial"/>
                <w:b/>
                <w:color w:val="00707D"/>
                <w:sz w:val="16"/>
              </w:rPr>
              <w:t>Minimal (no binder/cure)</w:t>
            </w:r>
          </w:p>
        </w:tc>
        <w:tc>
          <w:tcPr>
            <w:tcW w:type="dxa" w:w="1560"/>
          </w:tcPr>
          <w:p>
            <w:r/>
            <w:r>
              <w:rPr>
                <w:rFonts w:ascii="Arial" w:hAnsi="Arial"/>
                <w:sz w:val="16"/>
              </w:rPr>
              <w:t>High (polymer + cure)</w:t>
            </w:r>
          </w:p>
        </w:tc>
        <w:tc>
          <w:tcPr>
            <w:tcW w:type="dxa" w:w="1560"/>
          </w:tcPr>
          <w:p>
            <w:r/>
            <w:r>
              <w:rPr>
                <w:rFonts w:ascii="Arial" w:hAnsi="Arial"/>
                <w:sz w:val="16"/>
              </w:rPr>
              <w:t>Moderate</w:t>
            </w:r>
          </w:p>
        </w:tc>
        <w:tc>
          <w:tcPr>
            <w:tcW w:type="dxa" w:w="1560"/>
          </w:tcPr>
          <w:p>
            <w:r/>
            <w:r>
              <w:rPr>
                <w:rFonts w:ascii="Arial" w:hAnsi="Arial"/>
                <w:sz w:val="16"/>
              </w:rPr>
              <w:t>Moderate</w:t>
            </w:r>
          </w:p>
        </w:tc>
        <w:tc>
          <w:tcPr>
            <w:tcW w:type="dxa" w:w="1560"/>
          </w:tcPr>
          <w:p>
            <w:r/>
            <w:r>
              <w:rPr>
                <w:rFonts w:ascii="Arial" w:hAnsi="Arial"/>
                <w:sz w:val="16"/>
              </w:rPr>
              <w:t>High (dual process)</w:t>
            </w:r>
          </w:p>
        </w:tc>
      </w:tr>
    </w:tbl>
    <w:p>
      <w:r>
        <w:br w:type="page"/>
      </w:r>
    </w:p>
    <w:p>
      <w:pPr>
        <w:pStyle w:val="Heading1"/>
      </w:pPr>
      <w:r>
        <w:rPr>
          <w:rFonts w:ascii="Arial" w:hAnsi="Arial"/>
          <w:color w:val="00505C"/>
        </w:rPr>
        <w:t>4. Environmental Scoring Framework</w:t>
      </w:r>
    </w:p>
    <w:p>
      <w:pPr>
        <w:spacing w:after="120"/>
      </w:pPr>
      <w:r>
        <w:rPr>
          <w:rFonts w:ascii="Arial" w:hAnsi="Arial"/>
          <w:b w:val="0"/>
          <w:i w:val="0"/>
          <w:sz w:val="21"/>
        </w:rPr>
        <w:t>The following framework defines the environmental score that will be presented to customers in the FUZE Atlas platform. The score is calculated per fabric/garment and compares the customer's current antimicrobial against FUZE across four dimensions.</w:t>
      </w:r>
    </w:p>
    <w:p>
      <w:pPr>
        <w:pStyle w:val="Heading2"/>
      </w:pPr>
      <w:r>
        <w:rPr>
          <w:rFonts w:ascii="Arial" w:hAnsi="Arial"/>
          <w:color w:val="00707D"/>
        </w:rPr>
        <w:t>4.1 Chemistry Savings Score</w:t>
      </w:r>
    </w:p>
    <w:p>
      <w:pPr>
        <w:spacing w:after="120"/>
      </w:pPr>
      <w:r>
        <w:rPr>
          <w:rFonts w:ascii="Arial" w:hAnsi="Arial"/>
          <w:b w:val="0"/>
          <w:i w:val="0"/>
          <w:sz w:val="21"/>
        </w:rPr>
        <w:t>Measures the total weight of harmful chemistry eliminated by switching to FUZE. Competitors require 5–700 ppm of active agent per kg of textile. FUZE requires ~1 mg/kg. The delta represents chemistry that is NOT manufactured, NOT shipped, NOT applied, and NOT released into the environment.</w:t>
      </w:r>
    </w:p>
    <w:p>
      <w:pPr>
        <w:spacing w:after="120"/>
      </w:pPr>
      <w:r>
        <w:rPr>
          <w:rFonts w:ascii="Arial" w:hAnsi="Arial"/>
          <w:b/>
          <w:i w:val="0"/>
        </w:rPr>
        <w:t>Calculation:</w:t>
      </w:r>
    </w:p>
    <w:p>
      <w:pPr>
        <w:spacing w:after="120"/>
      </w:pPr>
      <w:r>
        <w:rPr>
          <w:rFonts w:ascii="Arial" w:hAnsi="Arial"/>
          <w:b w:val="0"/>
          <w:i w:val="0"/>
          <w:sz w:val="20"/>
        </w:rPr>
        <w:t>For a competitor using X ppm (mg/kg) of active agent on Y kg of fabric:</w:t>
        <w:br/>
        <w:t>Chemistry Saved = (X - 1) mg × Y kg = total mg of active chemistry eliminated</w:t>
        <w:br/>
        <w:t>Plus: Binder chemistry saved (competitors require binder, FUZE does not)</w:t>
        <w:br/>
        <w:t>Typical binder application: 10–30 g/kg of fabric</w:t>
        <w:br/>
        <w:t>Total Chemistry Score = Active Agent Saved + Binder Saved + Curing Agent Saved</w:t>
      </w:r>
    </w:p>
    <w:p>
      <w:pPr>
        <w:pStyle w:val="Heading2"/>
      </w:pPr>
      <w:r>
        <w:rPr>
          <w:rFonts w:ascii="Arial" w:hAnsi="Arial"/>
          <w:color w:val="00707D"/>
        </w:rPr>
        <w:t>4.2 Metal &amp; Toxin Elimination Score</w:t>
      </w:r>
    </w:p>
    <w:p>
      <w:pPr>
        <w:spacing w:after="120"/>
      </w:pPr>
      <w:r>
        <w:rPr>
          <w:rFonts w:ascii="Arial" w:hAnsi="Arial"/>
          <w:b w:val="0"/>
          <w:i w:val="0"/>
          <w:sz w:val="21"/>
        </w:rPr>
        <w:t>Quantifies heavy metals and toxic compounds kept out of waterways. This is the most powerful customer-facing metric because it directly ties to water quality and aquatic life.</w:t>
      </w:r>
    </w:p>
    <w:p>
      <w:pPr>
        <w:spacing w:after="120"/>
      </w:pPr>
      <w:r>
        <w:rPr>
          <w:rFonts w:ascii="Arial" w:hAnsi="Arial"/>
          <w:b/>
          <w:i w:val="0"/>
        </w:rPr>
        <w:t>Per-wash leaching data from published research:</w:t>
      </w:r>
    </w:p>
    <w:p>
      <w:pPr>
        <w:spacing w:after="120"/>
      </w:pPr>
      <w:r>
        <w:rPr>
          <w:rFonts w:ascii="Arial" w:hAnsi="Arial"/>
          <w:b w:val="0"/>
          <w:i w:val="0"/>
          <w:sz w:val="20"/>
        </w:rPr>
        <w:t>•  Polygiene (AgCl): 31–90% of silver lost in first 10 washes (median 71%)</w:t>
        <w:br/>
        <w:t>•  Silver nanoparticle textiles: up to 45% silver released per wash cycle</w:t>
        <w:br/>
        <w:t>•  QAC-based products (Aegis, Sanitized): 55–81% of QAC leached into wash water</w:t>
        <w:br/>
        <w:t>•  HeiQ: up to 80% silver released in first wash; zinc bioaccumulates</w:t>
        <w:br/>
        <w:t>•  FUZE: ZERO ion emissions under standard and stressed conditions</w:t>
      </w:r>
    </w:p>
    <w:p>
      <w:pPr>
        <w:spacing w:after="120"/>
      </w:pPr>
      <w:r>
        <w:rPr>
          <w:rFonts w:ascii="Arial" w:hAnsi="Arial"/>
          <w:b w:val="0"/>
          <w:i w:val="0"/>
          <w:sz w:val="20"/>
        </w:rPr>
        <w:t>Calculation: For a garment with Z mg of competitor active agent, losing L% per wash over W washes:</w:t>
        <w:br/>
        <w:t>Total Metal/Toxin Released to Water = Z × L% × W washes</w:t>
        <w:br/>
        <w:t>With FUZE: 0 mg released. Savings = 100% of competitor release.</w:t>
      </w:r>
    </w:p>
    <w:p>
      <w:pPr>
        <w:pStyle w:val="Heading2"/>
      </w:pPr>
      <w:r>
        <w:rPr>
          <w:rFonts w:ascii="Arial" w:hAnsi="Arial"/>
          <w:color w:val="00707D"/>
        </w:rPr>
        <w:t>4.3 Social &amp; Water Quality Score</w:t>
      </w:r>
    </w:p>
    <w:p>
      <w:pPr>
        <w:spacing w:after="120"/>
      </w:pPr>
      <w:r>
        <w:rPr>
          <w:rFonts w:ascii="Arial" w:hAnsi="Arial"/>
          <w:b w:val="0"/>
          <w:i w:val="0"/>
          <w:sz w:val="21"/>
        </w:rPr>
        <w:t>This score has two components that capture the full lifecycle of chemical contamination:</w:t>
      </w:r>
    </w:p>
    <w:p>
      <w:pPr>
        <w:spacing w:after="120"/>
      </w:pPr>
      <w:r>
        <w:rPr>
          <w:rFonts w:ascii="Arial" w:hAnsi="Arial"/>
          <w:b/>
          <w:i w:val="0"/>
        </w:rPr>
        <w:t>A) Factory Wastewater Impact:</w:t>
      </w:r>
    </w:p>
    <w:p>
      <w:pPr>
        <w:spacing w:after="120"/>
      </w:pPr>
      <w:r>
        <w:rPr>
          <w:rFonts w:ascii="Arial" w:hAnsi="Arial"/>
          <w:b w:val="0"/>
          <w:i w:val="0"/>
          <w:sz w:val="20"/>
        </w:rPr>
        <w:t>During textile finishing, excess antimicrobial chemistry enters factory wastewater. Competitors require binder application, curing baths, and excess chemistry rinse-off. This enters local waterways in manufacturing regions (primarily Southeast Asia) where wastewater treatment may be limited. FUZE's mist application with zero rinse-off eliminates this entirely.</w:t>
      </w:r>
    </w:p>
    <w:p>
      <w:pPr>
        <w:spacing w:after="120"/>
      </w:pPr>
      <w:r>
        <w:rPr>
          <w:rFonts w:ascii="Arial" w:hAnsi="Arial"/>
          <w:b/>
          <w:i w:val="0"/>
        </w:rPr>
        <w:t>B) Consumer Laundry Leaching (100% to environment):</w:t>
      </w:r>
    </w:p>
    <w:p>
      <w:pPr>
        <w:spacing w:after="120"/>
      </w:pPr>
      <w:r>
        <w:rPr>
          <w:rFonts w:ascii="Arial" w:hAnsi="Arial"/>
          <w:b w:val="0"/>
          <w:i w:val="0"/>
          <w:sz w:val="20"/>
        </w:rPr>
        <w:t>Every wash cycle at home sends leached chemistry directly into municipal wastewater. Key research findings:</w:t>
        <w:br/>
        <w:t>•  Silver is toxic to zebrafish, rainbow trout, zooplankton, and aquatic microorganisms</w:t>
        <w:br/>
        <w:t>•  &gt;90% of silver nanoparticles from wastewater end up in sewage sludge used as agricultural fertilizer</w:t>
        <w:br/>
        <w:t>•  QACs cause acute toxicity to Daphnia magna at concentrations as low as 5.8 μg/L</w:t>
        <w:br/>
        <w:t>•  QACs disrupt biological wastewater treatment processes</w:t>
        <w:br/>
        <w:t>•  10% of regions face high risk when QAC laundry wastewater goes through treatment;</w:t>
        <w:br/>
        <w:t xml:space="preserve">   51% face high risk when discharged directly with sewage</w:t>
        <w:br/>
        <w:t>•  Silver from treated textiles continues leaching even in landfill conditions after disposal</w:t>
      </w:r>
    </w:p>
    <w:p>
      <w:pPr>
        <w:pStyle w:val="Heading2"/>
      </w:pPr>
      <w:r>
        <w:rPr>
          <w:rFonts w:ascii="Arial" w:hAnsi="Arial"/>
          <w:color w:val="00707D"/>
        </w:rPr>
        <w:t>4.4 Carbon Footprint Score</w:t>
      </w:r>
    </w:p>
    <w:p>
      <w:pPr>
        <w:spacing w:after="120"/>
      </w:pPr>
      <w:r>
        <w:rPr>
          <w:rFonts w:ascii="Arial" w:hAnsi="Arial"/>
          <w:b w:val="0"/>
          <w:i w:val="0"/>
          <w:sz w:val="21"/>
        </w:rPr>
        <w:t>FUZE's manufacturing and application process has a dramatically smaller carbon footprint than competitors due to:</w:t>
      </w:r>
    </w:p>
    <w:p>
      <w:pPr>
        <w:spacing w:after="120"/>
      </w:pPr>
      <w:r>
        <w:rPr>
          <w:rFonts w:ascii="Arial" w:hAnsi="Arial"/>
          <w:b w:val="0"/>
          <w:i w:val="0"/>
          <w:sz w:val="20"/>
        </w:rPr>
        <w:t>•  No binder manufacturing (eliminates petrochemical polymer production)</w:t>
        <w:br/>
        <w:t>•  No curing process (eliminates energy-intensive heat treatment step)</w:t>
        <w:br/>
        <w:t>•  ~1 mg/kg dosage vs. 5–700 ppm (less raw material extraction, processing, shipping)</w:t>
        <w:br/>
        <w:t>•  No surfactants (eliminates surfactant chemistry production chain)</w:t>
        <w:br/>
        <w:t>•  Mist application vs. pad/bath (less water, less energy, less waste)</w:t>
        <w:br/>
        <w:t>•  Lifetime durability eliminates need for re-treatment or early garment replacement</w:t>
      </w:r>
    </w:p>
    <w:p>
      <w:pPr>
        <w:spacing w:after="120"/>
      </w:pPr>
      <w:r>
        <w:rPr>
          <w:rFonts w:ascii="Arial" w:hAnsi="Arial"/>
          <w:b w:val="0"/>
          <w:i w:val="0"/>
          <w:sz w:val="20"/>
        </w:rPr>
        <w:t>Published LCA data: Nanosilver t-shirt production generates 2.70–166 kg CO2-equiv per shirt depending on the silver synthesis method and maturity stage. The manufacturing phase contribution increases from 13% to 31% of total lifecycle impact when antimicrobial treatment is added. FUZE's minimal-input process (no synthesis, no binder, no curing) represents the floor of this range.</w:t>
      </w:r>
    </w:p>
    <w:p>
      <w:r>
        <w:br w:type="page"/>
      </w:r>
    </w:p>
    <w:p>
      <w:pPr>
        <w:pStyle w:val="Heading1"/>
      </w:pPr>
      <w:r>
        <w:rPr>
          <w:rFonts w:ascii="Arial" w:hAnsi="Arial"/>
          <w:color w:val="00505C"/>
        </w:rPr>
        <w:t>5. Competitive Pricing Framework</w:t>
      </w:r>
    </w:p>
    <w:p>
      <w:pPr>
        <w:spacing w:after="120"/>
      </w:pPr>
      <w:r>
        <w:rPr>
          <w:rFonts w:ascii="Arial" w:hAnsi="Arial"/>
          <w:b w:val="0"/>
          <w:i w:val="0"/>
          <w:sz w:val="21"/>
        </w:rPr>
        <w:t>To build the customer-facing pricing calculator in FUZE Atlas, we need to show customers the TRUE cost of using competitor products when accounting for wash durability limits. The key insight: competitors claim 15–50 washes, but brands get requests for 30–100+ washes. Only FUZE can deliver.</w:t>
      </w:r>
    </w:p>
    <w:p>
      <w:pPr>
        <w:pStyle w:val="Heading2"/>
      </w:pPr>
      <w:r>
        <w:rPr>
          <w:rFonts w:ascii="Arial" w:hAnsi="Arial"/>
          <w:color w:val="00707D"/>
        </w:rPr>
        <w:t>5.1 Cost-Per-Wash Analysis</w:t>
      </w:r>
    </w:p>
    <w:p>
      <w:pPr>
        <w:spacing w:after="120"/>
      </w:pPr>
      <w:r>
        <w:rPr>
          <w:rFonts w:ascii="Arial" w:hAnsi="Arial"/>
          <w:b w:val="0"/>
          <w:i w:val="0"/>
          <w:sz w:val="20"/>
        </w:rPr>
        <w:t>The pricing comparison should show:</w:t>
        <w:br/>
        <w:br/>
        <w:t>1. Competitor cost per meter/kg at their published application rate</w:t>
        <w:br/>
        <w:t>2. Competitor cost per wash = (cost per meter) / (max wash claims)</w:t>
        <w:br/>
        <w:t>3. FUZE cost per wash = (cost per meter) / (lifetime washes, 100+ minimum)</w:t>
        <w:br/>
        <w:t>4. For 50-wash and 100-wash scenarios:</w:t>
        <w:br/>
        <w:t xml:space="preserve">   • If competitor claims 15 washes, show that the garment loses protection at wash 16</w:t>
        <w:br/>
        <w:t xml:space="preserve">   • Calculate "unprotected washes" = requested washes - competitor max</w:t>
        <w:br/>
        <w:t xml:space="preserve">   • Show FUZE maintaining full protection through entire lifecycle</w:t>
        <w:br/>
        <w:t>5. Currency conversion by region (already built in FUZE Atlas i18n system)</w:t>
      </w:r>
    </w:p>
    <w:p>
      <w:pPr>
        <w:pStyle w:val="Heading2"/>
      </w:pPr>
      <w:r>
        <w:rPr>
          <w:rFonts w:ascii="Arial" w:hAnsi="Arial"/>
          <w:color w:val="00707D"/>
        </w:rPr>
        <w:t>5.2 Hidden Cost Factors</w:t>
      </w:r>
    </w:p>
    <w:p>
      <w:pPr>
        <w:spacing w:after="120"/>
      </w:pPr>
      <w:r>
        <w:rPr>
          <w:rFonts w:ascii="Arial" w:hAnsi="Arial"/>
          <w:b w:val="0"/>
          <w:i w:val="0"/>
          <w:sz w:val="20"/>
        </w:rPr>
        <w:t>Beyond direct antimicrobial cost, the calculator should highlight:</w:t>
        <w:br/>
        <w:br/>
        <w:t>•  Binder cost: Competitors require 10–30 g/kg of binder chemistry (FUZE: zero)</w:t>
        <w:br/>
        <w:t>•  Curing energy cost: Heat treatment step in manufacturing (FUZE: zero)</w:t>
        <w:br/>
        <w:t>•  Manufacturing downtime: Curing time required (FUZE: zero downtime, mist application)</w:t>
        <w:br/>
        <w:t>•  Water usage: Pad application and rinse cycles (FUZE: mist only)</w:t>
        <w:br/>
        <w:t>•  Regulatory compliance cost: EPA re-registration for wash claims (FUZE: lifetime approval in hand)</w:t>
        <w:br/>
        <w:t>•  Brand risk: Using a product that fails before consumer expectation (reputation cost)</w:t>
      </w:r>
    </w:p>
    <w:p>
      <w:r>
        <w:br w:type="page"/>
      </w:r>
    </w:p>
    <w:p>
      <w:pPr>
        <w:pStyle w:val="Heading1"/>
      </w:pPr>
      <w:r>
        <w:rPr>
          <w:rFonts w:ascii="Arial" w:hAnsi="Arial"/>
          <w:color w:val="00505C"/>
        </w:rPr>
        <w:t>6. Customer-Facing Environmental Messaging</w:t>
      </w:r>
    </w:p>
    <w:p>
      <w:pPr>
        <w:spacing w:after="120"/>
      </w:pPr>
      <w:r>
        <w:rPr>
          <w:rFonts w:ascii="Arial" w:hAnsi="Arial"/>
          <w:b w:val="0"/>
          <w:i w:val="0"/>
          <w:sz w:val="21"/>
        </w:rPr>
        <w:t>The following messaging framework is designed for the brand-facing portal in FUZE Atlas. Each message is backed by the research data in this report.</w:t>
      </w:r>
    </w:p>
    <w:p>
      <w:pPr>
        <w:pStyle w:val="Heading2"/>
      </w:pPr>
      <w:r>
        <w:rPr>
          <w:rFonts w:ascii="Arial" w:hAnsi="Arial"/>
          <w:color w:val="00707D"/>
        </w:rPr>
        <w:t>6.1 Hero Messages</w:t>
      </w:r>
    </w:p>
    <w:p>
      <w:pPr>
        <w:spacing w:after="120"/>
      </w:pPr>
      <w:r>
        <w:rPr>
          <w:rFonts w:ascii="Arial" w:hAnsi="Arial"/>
          <w:b/>
          <w:i w:val="0"/>
          <w:color w:val="00707D"/>
          <w:sz w:val="24"/>
        </w:rPr>
        <w:t>"Zero Chemistry in Your Water"</w:t>
      </w:r>
    </w:p>
    <w:p>
      <w:pPr>
        <w:spacing w:after="120"/>
      </w:pPr>
      <w:r>
        <w:rPr>
          <w:rFonts w:ascii="Arial" w:hAnsi="Arial"/>
          <w:b w:val="0"/>
          <w:i w:val="0"/>
          <w:sz w:val="20"/>
        </w:rPr>
        <w:t>FUZE is the only antimicrobial that releases zero ions into wastewater. Every wash with a competitor product sends silver, zinc, or quaternary ammonium compounds into your local water system. With FUZE, your water stays clean. Period.</w:t>
      </w:r>
    </w:p>
    <w:p>
      <w:pPr>
        <w:spacing w:after="120"/>
      </w:pPr>
      <w:r>
        <w:rPr>
          <w:rFonts w:ascii="Arial" w:hAnsi="Arial"/>
          <w:b/>
          <w:i w:val="0"/>
          <w:color w:val="00707D"/>
          <w:sz w:val="24"/>
        </w:rPr>
        <w:t>"1 Million Times Less Chemistry"</w:t>
      </w:r>
    </w:p>
    <w:p>
      <w:pPr>
        <w:spacing w:after="120"/>
      </w:pPr>
      <w:r>
        <w:rPr>
          <w:rFonts w:ascii="Arial" w:hAnsi="Arial"/>
          <w:b w:val="0"/>
          <w:i w:val="0"/>
          <w:sz w:val="20"/>
        </w:rPr>
        <w:t>FUZE uses approximately 1 mg per kg of textile — nearly 1,000,000 times less active material than any competing antimicrobial treatment. Less chemistry means less environmental impact, from raw material extraction through end-of-life disposal.</w:t>
      </w:r>
    </w:p>
    <w:p>
      <w:pPr>
        <w:spacing w:after="120"/>
      </w:pPr>
      <w:r>
        <w:rPr>
          <w:rFonts w:ascii="Arial" w:hAnsi="Arial"/>
          <w:b/>
          <w:i w:val="0"/>
          <w:color w:val="00707D"/>
          <w:sz w:val="24"/>
        </w:rPr>
        <w:t>"The Only Lifetime-Approved Antimicrobial"</w:t>
      </w:r>
    </w:p>
    <w:p>
      <w:pPr>
        <w:spacing w:after="120"/>
      </w:pPr>
      <w:r>
        <w:rPr>
          <w:rFonts w:ascii="Arial" w:hAnsi="Arial"/>
          <w:b w:val="0"/>
          <w:i w:val="0"/>
          <w:sz w:val="20"/>
        </w:rPr>
        <w:t>The U.S. EPA has verified that FUZE lasts the life of the textile. No other antimicrobial has this approval. Your competitors are limited to 15–50 wash claims. Your customers expect protection that lasts. Only FUZE delivers.</w:t>
      </w:r>
    </w:p>
    <w:p>
      <w:pPr>
        <w:spacing w:after="120"/>
      </w:pPr>
      <w:r>
        <w:rPr>
          <w:rFonts w:ascii="Arial" w:hAnsi="Arial"/>
          <w:b/>
          <w:i w:val="0"/>
          <w:color w:val="00707D"/>
          <w:sz w:val="24"/>
        </w:rPr>
        <w:t>"No Binders. No Curing. No Compromise."</w:t>
      </w:r>
    </w:p>
    <w:p>
      <w:pPr>
        <w:spacing w:after="120"/>
      </w:pPr>
      <w:r>
        <w:rPr>
          <w:rFonts w:ascii="Arial" w:hAnsi="Arial"/>
          <w:b w:val="0"/>
          <w:i w:val="0"/>
          <w:sz w:val="20"/>
        </w:rPr>
        <w:t>Every other antimicrobial requires binder chemicals and energy-intensive curing. That's extra chemistry in manufacturing wastewater, extra energy consumption, extra carbon emissions, and extra cost. FUZE is applied as a fine mist with zero additives.</w:t>
      </w:r>
    </w:p>
    <w:p>
      <w:pPr>
        <w:spacing w:after="120"/>
      </w:pPr>
      <w:r>
        <w:rPr>
          <w:rFonts w:ascii="Arial" w:hAnsi="Arial"/>
          <w:b/>
          <w:i w:val="0"/>
          <w:color w:val="00707D"/>
          <w:sz w:val="24"/>
        </w:rPr>
        <w:t>"Protect Fish, Not Just Fabric"</w:t>
      </w:r>
    </w:p>
    <w:p>
      <w:pPr>
        <w:spacing w:after="120"/>
      </w:pPr>
      <w:r>
        <w:rPr>
          <w:rFonts w:ascii="Arial" w:hAnsi="Arial"/>
          <w:b w:val="0"/>
          <w:i w:val="0"/>
          <w:sz w:val="20"/>
        </w:rPr>
        <w:t>Silver from competitor antimicrobials is toxic to zebrafish, rainbow trout, and zooplankton. Quaternary ammonium compounds kill aquatic invertebrates at concentrations as low as 5.8 μg/L. Over 90% of silver from textile wastewater ends up in agricultural fertilizer sludge. FUZE releases nothing.</w:t>
      </w:r>
    </w:p>
    <w:p>
      <w:r>
        <w:br w:type="page"/>
      </w:r>
    </w:p>
    <w:p>
      <w:pPr>
        <w:pStyle w:val="Heading1"/>
      </w:pPr>
      <w:r>
        <w:rPr>
          <w:rFonts w:ascii="Arial" w:hAnsi="Arial"/>
          <w:color w:val="00505C"/>
        </w:rPr>
        <w:t>7. Environmental Score Card Design</w:t>
      </w:r>
    </w:p>
    <w:p>
      <w:pPr>
        <w:spacing w:after="120"/>
      </w:pPr>
      <w:r>
        <w:rPr>
          <w:rFonts w:ascii="Arial" w:hAnsi="Arial"/>
          <w:b w:val="0"/>
          <w:i w:val="0"/>
          <w:sz w:val="21"/>
        </w:rPr>
        <w:t>The following data points should appear on each fabric's Environmental Score Card in FUZE Atlas when a customer selects their current competitor product:</w:t>
      </w:r>
    </w:p>
    <w:tbl>
      <w:tblPr>
        <w:tblStyle w:val="TableGrid"/>
        <w:tblW w:type="auto" w:w="0"/>
        <w:tblLook w:firstColumn="1" w:firstRow="1" w:lastColumn="0" w:lastRow="0" w:noHBand="0" w:noVBand="1" w:val="04A0"/>
      </w:tblPr>
      <w:tblGrid>
        <w:gridCol w:w="3120"/>
        <w:gridCol w:w="3120"/>
        <w:gridCol w:w="3120"/>
      </w:tblGrid>
      <w:tr>
        <w:tc>
          <w:tcPr>
            <w:tcW w:type="dxa" w:w="3120"/>
            <w:shd w:fill="00505C" w:val="clear"/>
          </w:tcPr>
          <w:p>
            <w:r/>
            <w:r>
              <w:rPr>
                <w:rFonts w:ascii="Arial" w:hAnsi="Arial"/>
                <w:b/>
                <w:color w:val="FFFFFF"/>
                <w:sz w:val="18"/>
              </w:rPr>
              <w:t>Metric</w:t>
            </w:r>
          </w:p>
        </w:tc>
        <w:tc>
          <w:tcPr>
            <w:tcW w:type="dxa" w:w="3120"/>
            <w:shd w:fill="00505C" w:val="clear"/>
          </w:tcPr>
          <w:p>
            <w:r/>
            <w:r>
              <w:rPr>
                <w:rFonts w:ascii="Arial" w:hAnsi="Arial"/>
                <w:b/>
                <w:color w:val="FFFFFF"/>
                <w:sz w:val="18"/>
              </w:rPr>
              <w:t>Data Source</w:t>
            </w:r>
          </w:p>
        </w:tc>
        <w:tc>
          <w:tcPr>
            <w:tcW w:type="dxa" w:w="3120"/>
            <w:shd w:fill="00505C" w:val="clear"/>
          </w:tcPr>
          <w:p>
            <w:r/>
            <w:r>
              <w:rPr>
                <w:rFonts w:ascii="Arial" w:hAnsi="Arial"/>
                <w:b/>
                <w:color w:val="FFFFFF"/>
                <w:sz w:val="18"/>
              </w:rPr>
              <w:t>Display Format</w:t>
            </w:r>
          </w:p>
        </w:tc>
      </w:tr>
      <w:tr>
        <w:tc>
          <w:tcPr>
            <w:tcW w:type="dxa" w:w="3120"/>
          </w:tcPr>
          <w:p>
            <w:r/>
            <w:r>
              <w:rPr>
                <w:rFonts w:ascii="Arial" w:hAnsi="Arial"/>
                <w:sz w:val="18"/>
              </w:rPr>
              <w:t>Chemistry Saved (mg)</w:t>
            </w:r>
          </w:p>
        </w:tc>
        <w:tc>
          <w:tcPr>
            <w:tcW w:type="dxa" w:w="3120"/>
          </w:tcPr>
          <w:p>
            <w:r/>
            <w:r>
              <w:rPr>
                <w:rFonts w:ascii="Arial" w:hAnsi="Arial"/>
                <w:sz w:val="18"/>
              </w:rPr>
              <w:t>Competitor dosage - FUZE dosage × fabric weight</w:t>
            </w:r>
          </w:p>
        </w:tc>
        <w:tc>
          <w:tcPr>
            <w:tcW w:type="dxa" w:w="3120"/>
          </w:tcPr>
          <w:p>
            <w:r/>
            <w:r>
              <w:rPr>
                <w:rFonts w:ascii="Arial" w:hAnsi="Arial"/>
                <w:sz w:val="18"/>
              </w:rPr>
              <w:t>Green bar chart + number</w:t>
            </w:r>
          </w:p>
        </w:tc>
      </w:tr>
      <w:tr>
        <w:tc>
          <w:tcPr>
            <w:tcW w:type="dxa" w:w="3120"/>
          </w:tcPr>
          <w:p>
            <w:r/>
            <w:r>
              <w:rPr>
                <w:rFonts w:ascii="Arial" w:hAnsi="Arial"/>
                <w:sz w:val="18"/>
              </w:rPr>
              <w:t>Binder Eliminated (g)</w:t>
            </w:r>
          </w:p>
        </w:tc>
        <w:tc>
          <w:tcPr>
            <w:tcW w:type="dxa" w:w="3120"/>
          </w:tcPr>
          <w:p>
            <w:r/>
            <w:r>
              <w:rPr>
                <w:rFonts w:ascii="Arial" w:hAnsi="Arial"/>
                <w:sz w:val="18"/>
              </w:rPr>
              <w:t>Competitor binder rate × fabric weight</w:t>
            </w:r>
          </w:p>
        </w:tc>
        <w:tc>
          <w:tcPr>
            <w:tcW w:type="dxa" w:w="3120"/>
          </w:tcPr>
          <w:p>
            <w:r/>
            <w:r>
              <w:rPr>
                <w:rFonts w:ascii="Arial" w:hAnsi="Arial"/>
                <w:sz w:val="18"/>
              </w:rPr>
              <w:t>Green bar chart + number</w:t>
            </w:r>
          </w:p>
        </w:tc>
      </w:tr>
      <w:tr>
        <w:tc>
          <w:tcPr>
            <w:tcW w:type="dxa" w:w="3120"/>
          </w:tcPr>
          <w:p>
            <w:r/>
            <w:r>
              <w:rPr>
                <w:rFonts w:ascii="Arial" w:hAnsi="Arial"/>
                <w:sz w:val="18"/>
              </w:rPr>
              <w:t>Metal Kept from Water (mg)</w:t>
            </w:r>
          </w:p>
        </w:tc>
        <w:tc>
          <w:tcPr>
            <w:tcW w:type="dxa" w:w="3120"/>
          </w:tcPr>
          <w:p>
            <w:r/>
            <w:r>
              <w:rPr>
                <w:rFonts w:ascii="Arial" w:hAnsi="Arial"/>
                <w:sz w:val="18"/>
              </w:rPr>
              <w:t>Competitor leach rate × dosage × wash count</w:t>
            </w:r>
          </w:p>
        </w:tc>
        <w:tc>
          <w:tcPr>
            <w:tcW w:type="dxa" w:w="3120"/>
          </w:tcPr>
          <w:p>
            <w:r/>
            <w:r>
              <w:rPr>
                <w:rFonts w:ascii="Arial" w:hAnsi="Arial"/>
                <w:sz w:val="18"/>
              </w:rPr>
              <w:t>Blue water droplet icon + number</w:t>
            </w:r>
          </w:p>
        </w:tc>
      </w:tr>
      <w:tr>
        <w:tc>
          <w:tcPr>
            <w:tcW w:type="dxa" w:w="3120"/>
          </w:tcPr>
          <w:p>
            <w:r/>
            <w:r>
              <w:rPr>
                <w:rFonts w:ascii="Arial" w:hAnsi="Arial"/>
                <w:sz w:val="18"/>
              </w:rPr>
              <w:t>QAC Toxins Eliminated (mg)</w:t>
            </w:r>
          </w:p>
        </w:tc>
        <w:tc>
          <w:tcPr>
            <w:tcW w:type="dxa" w:w="3120"/>
          </w:tcPr>
          <w:p>
            <w:r/>
            <w:r>
              <w:rPr>
                <w:rFonts w:ascii="Arial" w:hAnsi="Arial"/>
                <w:sz w:val="18"/>
              </w:rPr>
              <w:t>QAC leach rate × dosage (if applicable)</w:t>
            </w:r>
          </w:p>
        </w:tc>
        <w:tc>
          <w:tcPr>
            <w:tcW w:type="dxa" w:w="3120"/>
          </w:tcPr>
          <w:p>
            <w:r/>
            <w:r>
              <w:rPr>
                <w:rFonts w:ascii="Arial" w:hAnsi="Arial"/>
                <w:sz w:val="18"/>
              </w:rPr>
              <w:t>Red warning icon + number</w:t>
            </w:r>
          </w:p>
        </w:tc>
      </w:tr>
      <w:tr>
        <w:tc>
          <w:tcPr>
            <w:tcW w:type="dxa" w:w="3120"/>
          </w:tcPr>
          <w:p>
            <w:r/>
            <w:r>
              <w:rPr>
                <w:rFonts w:ascii="Arial" w:hAnsi="Arial"/>
                <w:sz w:val="18"/>
              </w:rPr>
              <w:t>Washes Protected</w:t>
            </w:r>
          </w:p>
        </w:tc>
        <w:tc>
          <w:tcPr>
            <w:tcW w:type="dxa" w:w="3120"/>
          </w:tcPr>
          <w:p>
            <w:r/>
            <w:r>
              <w:rPr>
                <w:rFonts w:ascii="Arial" w:hAnsi="Arial"/>
                <w:sz w:val="18"/>
              </w:rPr>
              <w:t>FUZE lifetime vs competitor max</w:t>
            </w:r>
          </w:p>
        </w:tc>
        <w:tc>
          <w:tcPr>
            <w:tcW w:type="dxa" w:w="3120"/>
          </w:tcPr>
          <w:p>
            <w:r/>
            <w:r>
              <w:rPr>
                <w:rFonts w:ascii="Arial" w:hAnsi="Arial"/>
                <w:sz w:val="18"/>
              </w:rPr>
              <w:t>Shield icon: "100+ vs 30"</w:t>
            </w:r>
          </w:p>
        </w:tc>
      </w:tr>
      <w:tr>
        <w:tc>
          <w:tcPr>
            <w:tcW w:type="dxa" w:w="3120"/>
          </w:tcPr>
          <w:p>
            <w:r/>
            <w:r>
              <w:rPr>
                <w:rFonts w:ascii="Arial" w:hAnsi="Arial"/>
                <w:sz w:val="18"/>
              </w:rPr>
              <w:t>CO2 Savings (est. kg)</w:t>
            </w:r>
          </w:p>
        </w:tc>
        <w:tc>
          <w:tcPr>
            <w:tcW w:type="dxa" w:w="3120"/>
          </w:tcPr>
          <w:p>
            <w:r/>
            <w:r>
              <w:rPr>
                <w:rFonts w:ascii="Arial" w:hAnsi="Arial"/>
                <w:sz w:val="18"/>
              </w:rPr>
              <w:t>Binder production + curing energy eliminated</w:t>
            </w:r>
          </w:p>
        </w:tc>
        <w:tc>
          <w:tcPr>
            <w:tcW w:type="dxa" w:w="3120"/>
          </w:tcPr>
          <w:p>
            <w:r/>
            <w:r>
              <w:rPr>
                <w:rFonts w:ascii="Arial" w:hAnsi="Arial"/>
                <w:sz w:val="18"/>
              </w:rPr>
              <w:t>Leaf icon + number</w:t>
            </w:r>
          </w:p>
        </w:tc>
      </w:tr>
      <w:tr>
        <w:tc>
          <w:tcPr>
            <w:tcW w:type="dxa" w:w="3120"/>
          </w:tcPr>
          <w:p>
            <w:r/>
            <w:r>
              <w:rPr>
                <w:rFonts w:ascii="Arial" w:hAnsi="Arial"/>
                <w:sz w:val="18"/>
              </w:rPr>
              <w:t>Factory Water Saved</w:t>
            </w:r>
          </w:p>
        </w:tc>
        <w:tc>
          <w:tcPr>
            <w:tcW w:type="dxa" w:w="3120"/>
          </w:tcPr>
          <w:p>
            <w:r/>
            <w:r>
              <w:rPr>
                <w:rFonts w:ascii="Arial" w:hAnsi="Arial"/>
                <w:sz w:val="18"/>
              </w:rPr>
              <w:t>Rinse/pad process eliminated</w:t>
            </w:r>
          </w:p>
        </w:tc>
        <w:tc>
          <w:tcPr>
            <w:tcW w:type="dxa" w:w="3120"/>
          </w:tcPr>
          <w:p>
            <w:r/>
            <w:r>
              <w:rPr>
                <w:rFonts w:ascii="Arial" w:hAnsi="Arial"/>
                <w:sz w:val="18"/>
              </w:rPr>
              <w:t>Factory icon + liters</w:t>
            </w:r>
          </w:p>
        </w:tc>
      </w:tr>
      <w:tr>
        <w:tc>
          <w:tcPr>
            <w:tcW w:type="dxa" w:w="3120"/>
          </w:tcPr>
          <w:p>
            <w:r/>
            <w:r>
              <w:rPr>
                <w:rFonts w:ascii="Arial" w:hAnsi="Arial"/>
                <w:sz w:val="18"/>
              </w:rPr>
              <w:t>Environmental Grade</w:t>
            </w:r>
          </w:p>
        </w:tc>
        <w:tc>
          <w:tcPr>
            <w:tcW w:type="dxa" w:w="3120"/>
          </w:tcPr>
          <w:p>
            <w:r/>
            <w:r>
              <w:rPr>
                <w:rFonts w:ascii="Arial" w:hAnsi="Arial"/>
                <w:sz w:val="18"/>
              </w:rPr>
              <w:t>Composite A–F score from above metrics</w:t>
            </w:r>
          </w:p>
        </w:tc>
        <w:tc>
          <w:tcPr>
            <w:tcW w:type="dxa" w:w="3120"/>
          </w:tcPr>
          <w:p>
            <w:r/>
            <w:r>
              <w:rPr>
                <w:rFonts w:ascii="Arial" w:hAnsi="Arial"/>
                <w:sz w:val="18"/>
              </w:rPr>
              <w:t>Large letter grade badge</w:t>
            </w:r>
          </w:p>
        </w:tc>
      </w:tr>
    </w:tbl>
    <w:p>
      <w:r>
        <w:br w:type="page"/>
      </w:r>
    </w:p>
    <w:p>
      <w:pPr>
        <w:pStyle w:val="Heading1"/>
      </w:pPr>
      <w:r>
        <w:rPr>
          <w:rFonts w:ascii="Arial" w:hAnsi="Arial"/>
          <w:color w:val="00505C"/>
        </w:rPr>
        <w:t>8. Reference Data for Pricing Calculator</w:t>
      </w:r>
    </w:p>
    <w:p>
      <w:pPr>
        <w:spacing w:after="120"/>
      </w:pPr>
      <w:r>
        <w:rPr>
          <w:rFonts w:ascii="Arial" w:hAnsi="Arial"/>
          <w:b w:val="0"/>
          <w:i w:val="0"/>
          <w:sz w:val="21"/>
        </w:rPr>
        <w:t>The following data should be seeded into the FUZE Atlas database to power the competitive pricing and environmental comparison features.</w:t>
      </w:r>
    </w:p>
    <w:p>
      <w:pPr>
        <w:pStyle w:val="Heading2"/>
      </w:pPr>
      <w:r>
        <w:rPr>
          <w:rFonts w:ascii="Arial" w:hAnsi="Arial"/>
          <w:color w:val="00707D"/>
        </w:rPr>
        <w:t>8.1 Competitor Product Registry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00505C" w:val="clear"/>
          </w:tcPr>
          <w:p>
            <w:r/>
            <w:r>
              <w:rPr>
                <w:rFonts w:ascii="Arial" w:hAnsi="Arial"/>
                <w:b/>
                <w:color w:val="FFFFFF"/>
                <w:sz w:val="16"/>
              </w:rPr>
              <w:t>Competitor</w:t>
            </w:r>
          </w:p>
        </w:tc>
        <w:tc>
          <w:tcPr>
            <w:tcW w:type="dxa" w:w="1872"/>
            <w:shd w:fill="00505C" w:val="clear"/>
          </w:tcPr>
          <w:p>
            <w:r/>
            <w:r>
              <w:rPr>
                <w:rFonts w:ascii="Arial" w:hAnsi="Arial"/>
                <w:b/>
                <w:color w:val="FFFFFF"/>
                <w:sz w:val="16"/>
              </w:rPr>
              <w:t>Product Line</w:t>
            </w:r>
          </w:p>
        </w:tc>
        <w:tc>
          <w:tcPr>
            <w:tcW w:type="dxa" w:w="1872"/>
            <w:shd w:fill="00505C" w:val="clear"/>
          </w:tcPr>
          <w:p>
            <w:r/>
            <w:r>
              <w:rPr>
                <w:rFonts w:ascii="Arial" w:hAnsi="Arial"/>
                <w:b/>
                <w:color w:val="FFFFFF"/>
                <w:sz w:val="16"/>
              </w:rPr>
              <w:t>Active Chemistry</w:t>
            </w:r>
          </w:p>
        </w:tc>
        <w:tc>
          <w:tcPr>
            <w:tcW w:type="dxa" w:w="1872"/>
            <w:shd w:fill="00505C" w:val="clear"/>
          </w:tcPr>
          <w:p>
            <w:r/>
            <w:r>
              <w:rPr>
                <w:rFonts w:ascii="Arial" w:hAnsi="Arial"/>
                <w:b/>
                <w:color w:val="FFFFFF"/>
                <w:sz w:val="16"/>
              </w:rPr>
              <w:t>Typical Dosage (ppm)</w:t>
            </w:r>
          </w:p>
        </w:tc>
        <w:tc>
          <w:tcPr>
            <w:tcW w:type="dxa" w:w="1872"/>
            <w:shd w:fill="00505C" w:val="clear"/>
          </w:tcPr>
          <w:p>
            <w:r/>
            <w:r>
              <w:rPr>
                <w:rFonts w:ascii="Arial" w:hAnsi="Arial"/>
                <w:b/>
                <w:color w:val="FFFFFF"/>
                <w:sz w:val="16"/>
              </w:rPr>
              <w:t>Max Wash Claim</w:t>
            </w:r>
          </w:p>
        </w:tc>
      </w:tr>
      <w:tr>
        <w:tc>
          <w:tcPr>
            <w:tcW w:type="dxa" w:w="1872"/>
          </w:tcPr>
          <w:p>
            <w:r/>
            <w:r>
              <w:rPr>
                <w:rFonts w:ascii="Arial" w:hAnsi="Arial"/>
                <w:sz w:val="16"/>
              </w:rPr>
              <w:t>Silvadur</w:t>
            </w:r>
          </w:p>
        </w:tc>
        <w:tc>
          <w:tcPr>
            <w:tcW w:type="dxa" w:w="1872"/>
          </w:tcPr>
          <w:p>
            <w:r/>
            <w:r>
              <w:rPr>
                <w:rFonts w:ascii="Arial" w:hAnsi="Arial"/>
                <w:sz w:val="16"/>
              </w:rPr>
              <w:t>Silvadur 930 Flex</w:t>
            </w:r>
          </w:p>
        </w:tc>
        <w:tc>
          <w:tcPr>
            <w:tcW w:type="dxa" w:w="1872"/>
          </w:tcPr>
          <w:p>
            <w:r/>
            <w:r>
              <w:rPr>
                <w:rFonts w:ascii="Arial" w:hAnsi="Arial"/>
                <w:sz w:val="16"/>
              </w:rPr>
              <w:t>Silver ion/polymer</w:t>
            </w:r>
          </w:p>
        </w:tc>
        <w:tc>
          <w:tcPr>
            <w:tcW w:type="dxa" w:w="1872"/>
          </w:tcPr>
          <w:p>
            <w:r/>
            <w:r>
              <w:rPr>
                <w:rFonts w:ascii="Arial" w:hAnsi="Arial"/>
                <w:sz w:val="16"/>
              </w:rPr>
              <w:t>30-700</w:t>
            </w:r>
          </w:p>
        </w:tc>
        <w:tc>
          <w:tcPr>
            <w:tcW w:type="dxa" w:w="1872"/>
          </w:tcPr>
          <w:p>
            <w:r/>
            <w:r>
              <w:rPr>
                <w:rFonts w:ascii="Arial" w:hAnsi="Arial"/>
                <w:sz w:val="16"/>
              </w:rPr>
              <w:t>40-50</w:t>
            </w:r>
          </w:p>
        </w:tc>
      </w:tr>
      <w:tr>
        <w:tc>
          <w:tcPr>
            <w:tcW w:type="dxa" w:w="1872"/>
          </w:tcPr>
          <w:p>
            <w:r/>
            <w:r>
              <w:rPr>
                <w:rFonts w:ascii="Arial" w:hAnsi="Arial"/>
                <w:sz w:val="16"/>
              </w:rPr>
              <w:t>Polygiene</w:t>
            </w:r>
          </w:p>
        </w:tc>
        <w:tc>
          <w:tcPr>
            <w:tcW w:type="dxa" w:w="1872"/>
          </w:tcPr>
          <w:p>
            <w:r/>
            <w:r>
              <w:rPr>
                <w:rFonts w:ascii="Arial" w:hAnsi="Arial"/>
                <w:sz w:val="16"/>
              </w:rPr>
              <w:t>StayFresh</w:t>
            </w:r>
          </w:p>
        </w:tc>
        <w:tc>
          <w:tcPr>
            <w:tcW w:type="dxa" w:w="1872"/>
          </w:tcPr>
          <w:p>
            <w:r/>
            <w:r>
              <w:rPr>
                <w:rFonts w:ascii="Arial" w:hAnsi="Arial"/>
                <w:sz w:val="16"/>
              </w:rPr>
              <w:t>Silver chloride (AgCl)</w:t>
            </w:r>
          </w:p>
        </w:tc>
        <w:tc>
          <w:tcPr>
            <w:tcW w:type="dxa" w:w="1872"/>
          </w:tcPr>
          <w:p>
            <w:r/>
            <w:r>
              <w:rPr>
                <w:rFonts w:ascii="Arial" w:hAnsi="Arial"/>
                <w:sz w:val="16"/>
              </w:rPr>
              <w:t>50-200 (est)</w:t>
            </w:r>
          </w:p>
        </w:tc>
        <w:tc>
          <w:tcPr>
            <w:tcW w:type="dxa" w:w="1872"/>
          </w:tcPr>
          <w:p>
            <w:r/>
            <w:r>
              <w:rPr>
                <w:rFonts w:ascii="Arial" w:hAnsi="Arial"/>
                <w:sz w:val="16"/>
              </w:rPr>
              <w:t>15-30</w:t>
            </w:r>
          </w:p>
        </w:tc>
      </w:tr>
      <w:tr>
        <w:tc>
          <w:tcPr>
            <w:tcW w:type="dxa" w:w="1872"/>
          </w:tcPr>
          <w:p>
            <w:r/>
            <w:r>
              <w:rPr>
                <w:rFonts w:ascii="Arial" w:hAnsi="Arial"/>
                <w:sz w:val="16"/>
              </w:rPr>
              <w:t>Polygiene</w:t>
            </w:r>
          </w:p>
        </w:tc>
        <w:tc>
          <w:tcPr>
            <w:tcW w:type="dxa" w:w="1872"/>
          </w:tcPr>
          <w:p>
            <w:r/>
            <w:r>
              <w:rPr>
                <w:rFonts w:ascii="Arial" w:hAnsi="Arial"/>
                <w:sz w:val="16"/>
              </w:rPr>
              <w:t>ViralOff</w:t>
            </w:r>
          </w:p>
        </w:tc>
        <w:tc>
          <w:tcPr>
            <w:tcW w:type="dxa" w:w="1872"/>
          </w:tcPr>
          <w:p>
            <w:r/>
            <w:r>
              <w:rPr>
                <w:rFonts w:ascii="Arial" w:hAnsi="Arial"/>
                <w:sz w:val="16"/>
              </w:rPr>
              <w:t>Silver chloride + vesicles</w:t>
            </w:r>
          </w:p>
        </w:tc>
        <w:tc>
          <w:tcPr>
            <w:tcW w:type="dxa" w:w="1872"/>
          </w:tcPr>
          <w:p>
            <w:r/>
            <w:r>
              <w:rPr>
                <w:rFonts w:ascii="Arial" w:hAnsi="Arial"/>
                <w:sz w:val="16"/>
              </w:rPr>
              <w:t>50-200 (est)</w:t>
            </w:r>
          </w:p>
        </w:tc>
        <w:tc>
          <w:tcPr>
            <w:tcW w:type="dxa" w:w="1872"/>
          </w:tcPr>
          <w:p>
            <w:r/>
            <w:r>
              <w:rPr>
                <w:rFonts w:ascii="Arial" w:hAnsi="Arial"/>
                <w:sz w:val="16"/>
              </w:rPr>
              <w:t>15-30</w:t>
            </w:r>
          </w:p>
        </w:tc>
      </w:tr>
      <w:tr>
        <w:tc>
          <w:tcPr>
            <w:tcW w:type="dxa" w:w="1872"/>
          </w:tcPr>
          <w:p>
            <w:r/>
            <w:r>
              <w:rPr>
                <w:rFonts w:ascii="Arial" w:hAnsi="Arial"/>
                <w:sz w:val="16"/>
              </w:rPr>
              <w:t>Aegis</w:t>
            </w:r>
          </w:p>
        </w:tc>
        <w:tc>
          <w:tcPr>
            <w:tcW w:type="dxa" w:w="1872"/>
          </w:tcPr>
          <w:p>
            <w:r/>
            <w:r>
              <w:rPr>
                <w:rFonts w:ascii="Arial" w:hAnsi="Arial"/>
                <w:sz w:val="16"/>
              </w:rPr>
              <w:t>Microbe Shield</w:t>
            </w:r>
          </w:p>
        </w:tc>
        <w:tc>
          <w:tcPr>
            <w:tcW w:type="dxa" w:w="1872"/>
          </w:tcPr>
          <w:p>
            <w:r/>
            <w:r>
              <w:rPr>
                <w:rFonts w:ascii="Arial" w:hAnsi="Arial"/>
                <w:sz w:val="16"/>
              </w:rPr>
              <w:t>Organosilane QAC</w:t>
            </w:r>
          </w:p>
        </w:tc>
        <w:tc>
          <w:tcPr>
            <w:tcW w:type="dxa" w:w="1872"/>
          </w:tcPr>
          <w:p>
            <w:r/>
            <w:r>
              <w:rPr>
                <w:rFonts w:ascii="Arial" w:hAnsi="Arial"/>
                <w:sz w:val="16"/>
              </w:rPr>
              <w:t>100-500 (est)</w:t>
            </w:r>
          </w:p>
        </w:tc>
        <w:tc>
          <w:tcPr>
            <w:tcW w:type="dxa" w:w="1872"/>
          </w:tcPr>
          <w:p>
            <w:r/>
            <w:r>
              <w:rPr>
                <w:rFonts w:ascii="Arial" w:hAnsi="Arial"/>
                <w:sz w:val="16"/>
              </w:rPr>
              <w:t>25</w:t>
            </w:r>
          </w:p>
        </w:tc>
      </w:tr>
      <w:tr>
        <w:tc>
          <w:tcPr>
            <w:tcW w:type="dxa" w:w="1872"/>
          </w:tcPr>
          <w:p>
            <w:r/>
            <w:r>
              <w:rPr>
                <w:rFonts w:ascii="Arial" w:hAnsi="Arial"/>
                <w:sz w:val="16"/>
              </w:rPr>
              <w:t>Aegis</w:t>
            </w:r>
          </w:p>
        </w:tc>
        <w:tc>
          <w:tcPr>
            <w:tcW w:type="dxa" w:w="1872"/>
          </w:tcPr>
          <w:p>
            <w:r/>
            <w:r>
              <w:rPr>
                <w:rFonts w:ascii="Arial" w:hAnsi="Arial"/>
                <w:sz w:val="16"/>
              </w:rPr>
              <w:t>Vesta</w:t>
            </w:r>
          </w:p>
        </w:tc>
        <w:tc>
          <w:tcPr>
            <w:tcW w:type="dxa" w:w="1872"/>
          </w:tcPr>
          <w:p>
            <w:r/>
            <w:r>
              <w:rPr>
                <w:rFonts w:ascii="Arial" w:hAnsi="Arial"/>
                <w:sz w:val="16"/>
              </w:rPr>
              <w:t>Organosilane QAC</w:t>
            </w:r>
          </w:p>
        </w:tc>
        <w:tc>
          <w:tcPr>
            <w:tcW w:type="dxa" w:w="1872"/>
          </w:tcPr>
          <w:p>
            <w:r/>
            <w:r>
              <w:rPr>
                <w:rFonts w:ascii="Arial" w:hAnsi="Arial"/>
                <w:sz w:val="16"/>
              </w:rPr>
              <w:t>100-500 (est)</w:t>
            </w:r>
          </w:p>
        </w:tc>
        <w:tc>
          <w:tcPr>
            <w:tcW w:type="dxa" w:w="1872"/>
          </w:tcPr>
          <w:p>
            <w:r/>
            <w:r>
              <w:rPr>
                <w:rFonts w:ascii="Arial" w:hAnsi="Arial"/>
                <w:sz w:val="16"/>
              </w:rPr>
              <w:t>50</w:t>
            </w:r>
          </w:p>
        </w:tc>
      </w:tr>
      <w:tr>
        <w:tc>
          <w:tcPr>
            <w:tcW w:type="dxa" w:w="1872"/>
          </w:tcPr>
          <w:p>
            <w:r/>
            <w:r>
              <w:rPr>
                <w:rFonts w:ascii="Arial" w:hAnsi="Arial"/>
                <w:sz w:val="16"/>
              </w:rPr>
              <w:t>Sanitized</w:t>
            </w:r>
          </w:p>
        </w:tc>
        <w:tc>
          <w:tcPr>
            <w:tcW w:type="dxa" w:w="1872"/>
          </w:tcPr>
          <w:p>
            <w:r/>
            <w:r>
              <w:rPr>
                <w:rFonts w:ascii="Arial" w:hAnsi="Arial"/>
                <w:sz w:val="16"/>
              </w:rPr>
              <w:t>Silver line</w:t>
            </w:r>
          </w:p>
        </w:tc>
        <w:tc>
          <w:tcPr>
            <w:tcW w:type="dxa" w:w="1872"/>
          </w:tcPr>
          <w:p>
            <w:r/>
            <w:r>
              <w:rPr>
                <w:rFonts w:ascii="Arial" w:hAnsi="Arial"/>
                <w:sz w:val="16"/>
              </w:rPr>
              <w:t>Silver ions in carrier</w:t>
            </w:r>
          </w:p>
        </w:tc>
        <w:tc>
          <w:tcPr>
            <w:tcW w:type="dxa" w:w="1872"/>
          </w:tcPr>
          <w:p>
            <w:r/>
            <w:r>
              <w:rPr>
                <w:rFonts w:ascii="Arial" w:hAnsi="Arial"/>
                <w:sz w:val="16"/>
              </w:rPr>
              <w:t>50-300 (est)</w:t>
            </w:r>
          </w:p>
        </w:tc>
        <w:tc>
          <w:tcPr>
            <w:tcW w:type="dxa" w:w="1872"/>
          </w:tcPr>
          <w:p>
            <w:r/>
            <w:r>
              <w:rPr>
                <w:rFonts w:ascii="Arial" w:hAnsi="Arial"/>
                <w:sz w:val="16"/>
              </w:rPr>
              <w:t>15-30</w:t>
            </w:r>
          </w:p>
        </w:tc>
      </w:tr>
      <w:tr>
        <w:tc>
          <w:tcPr>
            <w:tcW w:type="dxa" w:w="1872"/>
          </w:tcPr>
          <w:p>
            <w:r/>
            <w:r>
              <w:rPr>
                <w:rFonts w:ascii="Arial" w:hAnsi="Arial"/>
                <w:sz w:val="16"/>
              </w:rPr>
              <w:t>Sanitized</w:t>
            </w:r>
          </w:p>
        </w:tc>
        <w:tc>
          <w:tcPr>
            <w:tcW w:type="dxa" w:w="1872"/>
          </w:tcPr>
          <w:p>
            <w:r/>
            <w:r>
              <w:rPr>
                <w:rFonts w:ascii="Arial" w:hAnsi="Arial"/>
                <w:sz w:val="16"/>
              </w:rPr>
              <w:t>Puretec (SilanQuat)</w:t>
            </w:r>
          </w:p>
        </w:tc>
        <w:tc>
          <w:tcPr>
            <w:tcW w:type="dxa" w:w="1872"/>
          </w:tcPr>
          <w:p>
            <w:r/>
            <w:r>
              <w:rPr>
                <w:rFonts w:ascii="Arial" w:hAnsi="Arial"/>
                <w:sz w:val="16"/>
              </w:rPr>
              <w:t>Silane QAC</w:t>
            </w:r>
          </w:p>
        </w:tc>
        <w:tc>
          <w:tcPr>
            <w:tcW w:type="dxa" w:w="1872"/>
          </w:tcPr>
          <w:p>
            <w:r/>
            <w:r>
              <w:rPr>
                <w:rFonts w:ascii="Arial" w:hAnsi="Arial"/>
                <w:sz w:val="16"/>
              </w:rPr>
              <w:t>100-500 (est)</w:t>
            </w:r>
          </w:p>
        </w:tc>
        <w:tc>
          <w:tcPr>
            <w:tcW w:type="dxa" w:w="1872"/>
          </w:tcPr>
          <w:p>
            <w:r/>
            <w:r>
              <w:rPr>
                <w:rFonts w:ascii="Arial" w:hAnsi="Arial"/>
                <w:sz w:val="16"/>
              </w:rPr>
              <w:t>15-30</w:t>
            </w:r>
          </w:p>
        </w:tc>
      </w:tr>
      <w:tr>
        <w:tc>
          <w:tcPr>
            <w:tcW w:type="dxa" w:w="1872"/>
          </w:tcPr>
          <w:p>
            <w:r/>
            <w:r>
              <w:rPr>
                <w:rFonts w:ascii="Arial" w:hAnsi="Arial"/>
                <w:sz w:val="16"/>
              </w:rPr>
              <w:t>Sanitized</w:t>
            </w:r>
          </w:p>
        </w:tc>
        <w:tc>
          <w:tcPr>
            <w:tcW w:type="dxa" w:w="1872"/>
          </w:tcPr>
          <w:p>
            <w:r/>
            <w:r>
              <w:rPr>
                <w:rFonts w:ascii="Arial" w:hAnsi="Arial"/>
                <w:sz w:val="16"/>
              </w:rPr>
              <w:t>T20-19</w:t>
            </w:r>
          </w:p>
        </w:tc>
        <w:tc>
          <w:tcPr>
            <w:tcW w:type="dxa" w:w="1872"/>
          </w:tcPr>
          <w:p>
            <w:r/>
            <w:r>
              <w:rPr>
                <w:rFonts w:ascii="Arial" w:hAnsi="Arial"/>
                <w:sz w:val="16"/>
              </w:rPr>
              <w:t>QAC salt</w:t>
            </w:r>
          </w:p>
        </w:tc>
        <w:tc>
          <w:tcPr>
            <w:tcW w:type="dxa" w:w="1872"/>
          </w:tcPr>
          <w:p>
            <w:r/>
            <w:r>
              <w:rPr>
                <w:rFonts w:ascii="Arial" w:hAnsi="Arial"/>
                <w:sz w:val="16"/>
              </w:rPr>
              <w:t>100-500 (est)</w:t>
            </w:r>
          </w:p>
        </w:tc>
        <w:tc>
          <w:tcPr>
            <w:tcW w:type="dxa" w:w="1872"/>
          </w:tcPr>
          <w:p>
            <w:r/>
            <w:r>
              <w:rPr>
                <w:rFonts w:ascii="Arial" w:hAnsi="Arial"/>
                <w:sz w:val="16"/>
              </w:rPr>
              <w:t>15-30</w:t>
            </w:r>
          </w:p>
        </w:tc>
      </w:tr>
      <w:tr>
        <w:tc>
          <w:tcPr>
            <w:tcW w:type="dxa" w:w="1872"/>
          </w:tcPr>
          <w:p>
            <w:r/>
            <w:r>
              <w:rPr>
                <w:rFonts w:ascii="Arial" w:hAnsi="Arial"/>
                <w:sz w:val="16"/>
              </w:rPr>
              <w:t>HeiQ</w:t>
            </w:r>
          </w:p>
        </w:tc>
        <w:tc>
          <w:tcPr>
            <w:tcW w:type="dxa" w:w="1872"/>
          </w:tcPr>
          <w:p>
            <w:r/>
            <w:r>
              <w:rPr>
                <w:rFonts w:ascii="Arial" w:hAnsi="Arial"/>
                <w:sz w:val="16"/>
              </w:rPr>
              <w:t>HyProTecht</w:t>
            </w:r>
          </w:p>
        </w:tc>
        <w:tc>
          <w:tcPr>
            <w:tcW w:type="dxa" w:w="1872"/>
          </w:tcPr>
          <w:p>
            <w:r/>
            <w:r>
              <w:rPr>
                <w:rFonts w:ascii="Arial" w:hAnsi="Arial"/>
                <w:sz w:val="16"/>
              </w:rPr>
              <w:t>Zinc nanoparticles</w:t>
            </w:r>
          </w:p>
        </w:tc>
        <w:tc>
          <w:tcPr>
            <w:tcW w:type="dxa" w:w="1872"/>
          </w:tcPr>
          <w:p>
            <w:r/>
            <w:r>
              <w:rPr>
                <w:rFonts w:ascii="Arial" w:hAnsi="Arial"/>
                <w:sz w:val="16"/>
              </w:rPr>
              <w:t>100-500 (est)</w:t>
            </w:r>
          </w:p>
        </w:tc>
        <w:tc>
          <w:tcPr>
            <w:tcW w:type="dxa" w:w="1872"/>
          </w:tcPr>
          <w:p>
            <w:r/>
            <w:r>
              <w:rPr>
                <w:rFonts w:ascii="Arial" w:hAnsi="Arial"/>
                <w:sz w:val="16"/>
              </w:rPr>
              <w:t>15-30</w:t>
            </w:r>
          </w:p>
        </w:tc>
      </w:tr>
      <w:tr>
        <w:tc>
          <w:tcPr>
            <w:tcW w:type="dxa" w:w="1872"/>
          </w:tcPr>
          <w:p>
            <w:r/>
            <w:r>
              <w:rPr>
                <w:rFonts w:ascii="Arial" w:hAnsi="Arial"/>
                <w:sz w:val="16"/>
              </w:rPr>
              <w:t>HeiQ</w:t>
            </w:r>
          </w:p>
        </w:tc>
        <w:tc>
          <w:tcPr>
            <w:tcW w:type="dxa" w:w="1872"/>
          </w:tcPr>
          <w:p>
            <w:r/>
            <w:r>
              <w:rPr>
                <w:rFonts w:ascii="Arial" w:hAnsi="Arial"/>
                <w:sz w:val="16"/>
              </w:rPr>
              <w:t>Viroblock</w:t>
            </w:r>
          </w:p>
        </w:tc>
        <w:tc>
          <w:tcPr>
            <w:tcW w:type="dxa" w:w="1872"/>
          </w:tcPr>
          <w:p>
            <w:r/>
            <w:r>
              <w:rPr>
                <w:rFonts w:ascii="Arial" w:hAnsi="Arial"/>
                <w:sz w:val="16"/>
              </w:rPr>
              <w:t>Silver + liposomes</w:t>
            </w:r>
          </w:p>
        </w:tc>
        <w:tc>
          <w:tcPr>
            <w:tcW w:type="dxa" w:w="1872"/>
          </w:tcPr>
          <w:p>
            <w:r/>
            <w:r>
              <w:rPr>
                <w:rFonts w:ascii="Arial" w:hAnsi="Arial"/>
                <w:sz w:val="16"/>
              </w:rPr>
              <w:t>100-500 (est)</w:t>
            </w:r>
          </w:p>
        </w:tc>
        <w:tc>
          <w:tcPr>
            <w:tcW w:type="dxa" w:w="1872"/>
          </w:tcPr>
          <w:p>
            <w:r/>
            <w:r>
              <w:rPr>
                <w:rFonts w:ascii="Arial" w:hAnsi="Arial"/>
                <w:sz w:val="16"/>
              </w:rPr>
              <w:t>15-30</w:t>
            </w:r>
          </w:p>
        </w:tc>
      </w:tr>
      <w:tr>
        <w:tc>
          <w:tcPr>
            <w:tcW w:type="dxa" w:w="1872"/>
          </w:tcPr>
          <w:p>
            <w:r/>
            <w:r>
              <w:rPr>
                <w:rFonts w:ascii="Arial" w:hAnsi="Arial"/>
                <w:b/>
                <w:color w:val="00707D"/>
                <w:sz w:val="16"/>
              </w:rPr>
              <w:t>FUZE</w:t>
            </w:r>
          </w:p>
        </w:tc>
        <w:tc>
          <w:tcPr>
            <w:tcW w:type="dxa" w:w="1872"/>
          </w:tcPr>
          <w:p>
            <w:r/>
            <w:r>
              <w:rPr>
                <w:rFonts w:ascii="Arial" w:hAnsi="Arial"/>
                <w:b/>
                <w:color w:val="00707D"/>
                <w:sz w:val="16"/>
              </w:rPr>
              <w:t>FUZE 47</w:t>
            </w:r>
          </w:p>
        </w:tc>
        <w:tc>
          <w:tcPr>
            <w:tcW w:type="dxa" w:w="1872"/>
          </w:tcPr>
          <w:p>
            <w:r/>
            <w:r>
              <w:rPr>
                <w:rFonts w:ascii="Arial" w:hAnsi="Arial"/>
                <w:b/>
                <w:color w:val="00707D"/>
                <w:sz w:val="16"/>
              </w:rPr>
              <w:t>Silver allotrope (non-ionic)</w:t>
            </w:r>
          </w:p>
        </w:tc>
        <w:tc>
          <w:tcPr>
            <w:tcW w:type="dxa" w:w="1872"/>
          </w:tcPr>
          <w:p>
            <w:r/>
            <w:r>
              <w:rPr>
                <w:rFonts w:ascii="Arial" w:hAnsi="Arial"/>
                <w:b/>
                <w:color w:val="00707D"/>
                <w:sz w:val="16"/>
              </w:rPr>
              <w:t>~1</w:t>
            </w:r>
          </w:p>
        </w:tc>
        <w:tc>
          <w:tcPr>
            <w:tcW w:type="dxa" w:w="1872"/>
          </w:tcPr>
          <w:p>
            <w:r/>
            <w:r>
              <w:rPr>
                <w:rFonts w:ascii="Arial" w:hAnsi="Arial"/>
                <w:b/>
                <w:color w:val="00707D"/>
                <w:sz w:val="16"/>
              </w:rPr>
              <w:t>Lifetime (100+)</w:t>
            </w:r>
          </w:p>
        </w:tc>
      </w:tr>
    </w:tbl>
    <w:p>
      <w:pPr>
        <w:pStyle w:val="Heading2"/>
      </w:pPr>
      <w:r>
        <w:rPr>
          <w:rFonts w:ascii="Arial" w:hAnsi="Arial"/>
          <w:color w:val="00707D"/>
        </w:rPr>
        <w:t>8.2 Leaching Rate 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0505C" w:val="clear"/>
          </w:tcPr>
          <w:p>
            <w:r/>
            <w:r>
              <w:rPr>
                <w:rFonts w:ascii="Arial" w:hAnsi="Arial"/>
                <w:b/>
                <w:color w:val="FFFFFF"/>
                <w:sz w:val="16"/>
              </w:rPr>
              <w:t>Chemistry Type</w:t>
            </w:r>
          </w:p>
        </w:tc>
        <w:tc>
          <w:tcPr>
            <w:tcW w:type="dxa" w:w="2340"/>
            <w:shd w:fill="00505C" w:val="clear"/>
          </w:tcPr>
          <w:p>
            <w:r/>
            <w:r>
              <w:rPr>
                <w:rFonts w:ascii="Arial" w:hAnsi="Arial"/>
                <w:b/>
                <w:color w:val="FFFFFF"/>
                <w:sz w:val="16"/>
              </w:rPr>
              <w:t>Leach Rate (10 washes)</w:t>
            </w:r>
          </w:p>
        </w:tc>
        <w:tc>
          <w:tcPr>
            <w:tcW w:type="dxa" w:w="2340"/>
            <w:shd w:fill="00505C" w:val="clear"/>
          </w:tcPr>
          <w:p>
            <w:r/>
            <w:r>
              <w:rPr>
                <w:rFonts w:ascii="Arial" w:hAnsi="Arial"/>
                <w:b/>
                <w:color w:val="FFFFFF"/>
                <w:sz w:val="16"/>
              </w:rPr>
              <w:t>Leach Rate (per wash est.)</w:t>
            </w:r>
          </w:p>
        </w:tc>
        <w:tc>
          <w:tcPr>
            <w:tcW w:type="dxa" w:w="2340"/>
            <w:shd w:fill="00505C" w:val="clear"/>
          </w:tcPr>
          <w:p>
            <w:r/>
            <w:r>
              <w:rPr>
                <w:rFonts w:ascii="Arial" w:hAnsi="Arial"/>
                <w:b/>
                <w:color w:val="FFFFFF"/>
                <w:sz w:val="16"/>
              </w:rPr>
              <w:t>Source</w:t>
            </w:r>
          </w:p>
        </w:tc>
      </w:tr>
      <w:tr>
        <w:tc>
          <w:tcPr>
            <w:tcW w:type="dxa" w:w="2340"/>
          </w:tcPr>
          <w:p>
            <w:r/>
            <w:r>
              <w:rPr>
                <w:rFonts w:ascii="Arial" w:hAnsi="Arial"/>
                <w:sz w:val="16"/>
              </w:rPr>
              <w:t>Silver chloride (Polygiene)</w:t>
            </w:r>
          </w:p>
        </w:tc>
        <w:tc>
          <w:tcPr>
            <w:tcW w:type="dxa" w:w="2340"/>
          </w:tcPr>
          <w:p>
            <w:r/>
            <w:r>
              <w:rPr>
                <w:rFonts w:ascii="Arial" w:hAnsi="Arial"/>
                <w:sz w:val="16"/>
              </w:rPr>
              <w:t>31-90% (median 71%)</w:t>
            </w:r>
          </w:p>
        </w:tc>
        <w:tc>
          <w:tcPr>
            <w:tcW w:type="dxa" w:w="2340"/>
          </w:tcPr>
          <w:p>
            <w:r/>
            <w:r>
              <w:rPr>
                <w:rFonts w:ascii="Arial" w:hAnsi="Arial"/>
                <w:sz w:val="16"/>
              </w:rPr>
              <w:t>~7% per wash</w:t>
            </w:r>
          </w:p>
        </w:tc>
        <w:tc>
          <w:tcPr>
            <w:tcW w:type="dxa" w:w="2340"/>
          </w:tcPr>
          <w:p>
            <w:r/>
            <w:r>
              <w:rPr>
                <w:rFonts w:ascii="Arial" w:hAnsi="Arial"/>
                <w:sz w:val="16"/>
              </w:rPr>
              <w:t>Swedish Water Assoc.</w:t>
            </w:r>
          </w:p>
        </w:tc>
      </w:tr>
      <w:tr>
        <w:tc>
          <w:tcPr>
            <w:tcW w:type="dxa" w:w="2340"/>
          </w:tcPr>
          <w:p>
            <w:r/>
            <w:r>
              <w:rPr>
                <w:rFonts w:ascii="Arial" w:hAnsi="Arial"/>
                <w:sz w:val="16"/>
              </w:rPr>
              <w:t>Silver nanoparticles (general)</w:t>
            </w:r>
          </w:p>
        </w:tc>
        <w:tc>
          <w:tcPr>
            <w:tcW w:type="dxa" w:w="2340"/>
          </w:tcPr>
          <w:p>
            <w:r/>
            <w:r>
              <w:rPr>
                <w:rFonts w:ascii="Arial" w:hAnsi="Arial"/>
                <w:sz w:val="16"/>
              </w:rPr>
              <w:t>Up to 45% per wash</w:t>
            </w:r>
          </w:p>
        </w:tc>
        <w:tc>
          <w:tcPr>
            <w:tcW w:type="dxa" w:w="2340"/>
          </w:tcPr>
          <w:p>
            <w:r/>
            <w:r>
              <w:rPr>
                <w:rFonts w:ascii="Arial" w:hAnsi="Arial"/>
                <w:sz w:val="16"/>
              </w:rPr>
              <w:t>1-45% per wash</w:t>
            </w:r>
          </w:p>
        </w:tc>
        <w:tc>
          <w:tcPr>
            <w:tcW w:type="dxa" w:w="2340"/>
          </w:tcPr>
          <w:p>
            <w:r/>
            <w:r>
              <w:rPr>
                <w:rFonts w:ascii="Arial" w:hAnsi="Arial"/>
                <w:sz w:val="16"/>
              </w:rPr>
              <w:t>ACS Env Sci &amp; Tech</w:t>
            </w:r>
          </w:p>
        </w:tc>
      </w:tr>
      <w:tr>
        <w:tc>
          <w:tcPr>
            <w:tcW w:type="dxa" w:w="2340"/>
          </w:tcPr>
          <w:p>
            <w:r/>
            <w:r>
              <w:rPr>
                <w:rFonts w:ascii="Arial" w:hAnsi="Arial"/>
                <w:sz w:val="16"/>
              </w:rPr>
              <w:t>Silver NP (HeiQ-type)</w:t>
            </w:r>
          </w:p>
        </w:tc>
        <w:tc>
          <w:tcPr>
            <w:tcW w:type="dxa" w:w="2340"/>
          </w:tcPr>
          <w:p>
            <w:r/>
            <w:r>
              <w:rPr>
                <w:rFonts w:ascii="Arial" w:hAnsi="Arial"/>
                <w:sz w:val="16"/>
              </w:rPr>
              <w:t>Up to 80% first wash</w:t>
            </w:r>
          </w:p>
        </w:tc>
        <w:tc>
          <w:tcPr>
            <w:tcW w:type="dxa" w:w="2340"/>
          </w:tcPr>
          <w:p>
            <w:r/>
            <w:r>
              <w:rPr>
                <w:rFonts w:ascii="Arial" w:hAnsi="Arial"/>
                <w:sz w:val="16"/>
              </w:rPr>
              <w:t>Varies</w:t>
            </w:r>
          </w:p>
        </w:tc>
        <w:tc>
          <w:tcPr>
            <w:tcW w:type="dxa" w:w="2340"/>
          </w:tcPr>
          <w:p>
            <w:r/>
            <w:r>
              <w:rPr>
                <w:rFonts w:ascii="Arial" w:hAnsi="Arial"/>
                <w:sz w:val="16"/>
              </w:rPr>
              <w:t>PMC research</w:t>
            </w:r>
          </w:p>
        </w:tc>
      </w:tr>
      <w:tr>
        <w:tc>
          <w:tcPr>
            <w:tcW w:type="dxa" w:w="2340"/>
          </w:tcPr>
          <w:p>
            <w:r/>
            <w:r>
              <w:rPr>
                <w:rFonts w:ascii="Arial" w:hAnsi="Arial"/>
                <w:sz w:val="16"/>
              </w:rPr>
              <w:t>QAC - underwear</w:t>
            </w:r>
          </w:p>
        </w:tc>
        <w:tc>
          <w:tcPr>
            <w:tcW w:type="dxa" w:w="2340"/>
          </w:tcPr>
          <w:p>
            <w:r/>
            <w:r>
              <w:rPr>
                <w:rFonts w:ascii="Arial" w:hAnsi="Arial"/>
                <w:sz w:val="16"/>
              </w:rPr>
              <w:t>77% total</w:t>
            </w:r>
          </w:p>
        </w:tc>
        <w:tc>
          <w:tcPr>
            <w:tcW w:type="dxa" w:w="2340"/>
          </w:tcPr>
          <w:p>
            <w:r/>
            <w:r>
              <w:rPr>
                <w:rFonts w:ascii="Arial" w:hAnsi="Arial"/>
                <w:sz w:val="16"/>
              </w:rPr>
              <w:t>~7.7% per wash</w:t>
            </w:r>
          </w:p>
        </w:tc>
        <w:tc>
          <w:tcPr>
            <w:tcW w:type="dxa" w:w="2340"/>
          </w:tcPr>
          <w:p>
            <w:r/>
            <w:r>
              <w:rPr>
                <w:rFonts w:ascii="Arial" w:hAnsi="Arial"/>
                <w:sz w:val="16"/>
              </w:rPr>
              <w:t>ChemRxiv 2025</w:t>
            </w:r>
          </w:p>
        </w:tc>
      </w:tr>
      <w:tr>
        <w:tc>
          <w:tcPr>
            <w:tcW w:type="dxa" w:w="2340"/>
          </w:tcPr>
          <w:p>
            <w:r/>
            <w:r>
              <w:rPr>
                <w:rFonts w:ascii="Arial" w:hAnsi="Arial"/>
                <w:sz w:val="16"/>
              </w:rPr>
              <w:t>QAC - towels</w:t>
            </w:r>
          </w:p>
        </w:tc>
        <w:tc>
          <w:tcPr>
            <w:tcW w:type="dxa" w:w="2340"/>
          </w:tcPr>
          <w:p>
            <w:r/>
            <w:r>
              <w:rPr>
                <w:rFonts w:ascii="Arial" w:hAnsi="Arial"/>
                <w:sz w:val="16"/>
              </w:rPr>
              <w:t>55% total</w:t>
            </w:r>
          </w:p>
        </w:tc>
        <w:tc>
          <w:tcPr>
            <w:tcW w:type="dxa" w:w="2340"/>
          </w:tcPr>
          <w:p>
            <w:r/>
            <w:r>
              <w:rPr>
                <w:rFonts w:ascii="Arial" w:hAnsi="Arial"/>
                <w:sz w:val="16"/>
              </w:rPr>
              <w:t>~5.5% per wash</w:t>
            </w:r>
          </w:p>
        </w:tc>
        <w:tc>
          <w:tcPr>
            <w:tcW w:type="dxa" w:w="2340"/>
          </w:tcPr>
          <w:p>
            <w:r/>
            <w:r>
              <w:rPr>
                <w:rFonts w:ascii="Arial" w:hAnsi="Arial"/>
                <w:sz w:val="16"/>
              </w:rPr>
              <w:t>ChemRxiv 2025</w:t>
            </w:r>
          </w:p>
        </w:tc>
      </w:tr>
      <w:tr>
        <w:tc>
          <w:tcPr>
            <w:tcW w:type="dxa" w:w="2340"/>
          </w:tcPr>
          <w:p>
            <w:r/>
            <w:r>
              <w:rPr>
                <w:rFonts w:ascii="Arial" w:hAnsi="Arial"/>
                <w:sz w:val="16"/>
              </w:rPr>
              <w:t>QAC - socks</w:t>
            </w:r>
          </w:p>
        </w:tc>
        <w:tc>
          <w:tcPr>
            <w:tcW w:type="dxa" w:w="2340"/>
          </w:tcPr>
          <w:p>
            <w:r/>
            <w:r>
              <w:rPr>
                <w:rFonts w:ascii="Arial" w:hAnsi="Arial"/>
                <w:sz w:val="16"/>
              </w:rPr>
              <w:t>81% total</w:t>
            </w:r>
          </w:p>
        </w:tc>
        <w:tc>
          <w:tcPr>
            <w:tcW w:type="dxa" w:w="2340"/>
          </w:tcPr>
          <w:p>
            <w:r/>
            <w:r>
              <w:rPr>
                <w:rFonts w:ascii="Arial" w:hAnsi="Arial"/>
                <w:sz w:val="16"/>
              </w:rPr>
              <w:t>~8.1% per wash</w:t>
            </w:r>
          </w:p>
        </w:tc>
        <w:tc>
          <w:tcPr>
            <w:tcW w:type="dxa" w:w="2340"/>
          </w:tcPr>
          <w:p>
            <w:r/>
            <w:r>
              <w:rPr>
                <w:rFonts w:ascii="Arial" w:hAnsi="Arial"/>
                <w:sz w:val="16"/>
              </w:rPr>
              <w:t>ChemRxiv 2025</w:t>
            </w:r>
          </w:p>
        </w:tc>
      </w:tr>
      <w:tr>
        <w:tc>
          <w:tcPr>
            <w:tcW w:type="dxa" w:w="2340"/>
          </w:tcPr>
          <w:p>
            <w:r/>
            <w:r>
              <w:rPr>
                <w:rFonts w:ascii="Arial" w:hAnsi="Arial"/>
                <w:b/>
                <w:color w:val="00707D"/>
                <w:sz w:val="16"/>
              </w:rPr>
              <w:t>FUZE (silver allotrope)</w:t>
            </w:r>
          </w:p>
        </w:tc>
        <w:tc>
          <w:tcPr>
            <w:tcW w:type="dxa" w:w="2340"/>
          </w:tcPr>
          <w:p>
            <w:r/>
            <w:r>
              <w:rPr>
                <w:rFonts w:ascii="Arial" w:hAnsi="Arial"/>
                <w:b/>
                <w:color w:val="00707D"/>
                <w:sz w:val="16"/>
              </w:rPr>
              <w:t>0%</w:t>
            </w:r>
          </w:p>
        </w:tc>
        <w:tc>
          <w:tcPr>
            <w:tcW w:type="dxa" w:w="2340"/>
          </w:tcPr>
          <w:p>
            <w:r/>
            <w:r>
              <w:rPr>
                <w:rFonts w:ascii="Arial" w:hAnsi="Arial"/>
                <w:b/>
                <w:color w:val="00707D"/>
                <w:sz w:val="16"/>
              </w:rPr>
              <w:t>0%</w:t>
            </w:r>
          </w:p>
        </w:tc>
        <w:tc>
          <w:tcPr>
            <w:tcW w:type="dxa" w:w="2340"/>
          </w:tcPr>
          <w:p>
            <w:r/>
            <w:r>
              <w:rPr>
                <w:rFonts w:ascii="Arial" w:hAnsi="Arial"/>
                <w:b/>
                <w:color w:val="00707D"/>
                <w:sz w:val="16"/>
              </w:rPr>
              <w:t>EPA verified</w:t>
            </w:r>
          </w:p>
        </w:tc>
      </w:tr>
    </w:tbl>
    <w:p>
      <w:r>
        <w:br w:type="page"/>
      </w:r>
    </w:p>
    <w:p>
      <w:pPr>
        <w:pStyle w:val="Heading1"/>
      </w:pPr>
      <w:r>
        <w:rPr>
          <w:rFonts w:ascii="Arial" w:hAnsi="Arial"/>
          <w:color w:val="00505C"/>
        </w:rPr>
        <w:t>9. FUZE Atlas Implementation Roadmap</w:t>
      </w:r>
    </w:p>
    <w:p>
      <w:pPr>
        <w:spacing w:after="120"/>
      </w:pPr>
      <w:r>
        <w:rPr>
          <w:rFonts w:ascii="Arial" w:hAnsi="Arial"/>
          <w:b w:val="0"/>
          <w:i w:val="0"/>
          <w:sz w:val="21"/>
        </w:rPr>
        <w:t>Based on this research, the following features should be built into FUZE Atlas:</w:t>
      </w:r>
    </w:p>
    <w:p>
      <w:pPr>
        <w:pStyle w:val="Heading2"/>
      </w:pPr>
      <w:r>
        <w:rPr>
          <w:rFonts w:ascii="Arial" w:hAnsi="Arial"/>
          <w:color w:val="00707D"/>
        </w:rPr>
        <w:t>9.1 Customer-Facing Fabric Builder</w:t>
      </w:r>
    </w:p>
    <w:p>
      <w:pPr>
        <w:spacing w:after="120"/>
      </w:pPr>
      <w:r>
        <w:rPr>
          <w:rFonts w:ascii="Arial" w:hAnsi="Arial"/>
          <w:b w:val="0"/>
          <w:i w:val="0"/>
          <w:sz w:val="20"/>
        </w:rPr>
        <w:t>•  Brand users can enter fabric details via dropdown (restricted to their customer number)</w:t>
        <w:br/>
        <w:t>•  Select fabric weight, type, application method</w:t>
        <w:br/>
        <w:t>•  System calculates FUZE cost based on current pricing and region/currency</w:t>
        <w:br/>
        <w:t>•  Dropdown to select current competitor product they're using</w:t>
      </w:r>
    </w:p>
    <w:p>
      <w:pPr>
        <w:pStyle w:val="Heading2"/>
      </w:pPr>
      <w:r>
        <w:rPr>
          <w:rFonts w:ascii="Arial" w:hAnsi="Arial"/>
          <w:color w:val="00707D"/>
        </w:rPr>
        <w:t>9.2 Competitive Pricing Comparison</w:t>
      </w:r>
    </w:p>
    <w:p>
      <w:pPr>
        <w:spacing w:after="120"/>
      </w:pPr>
      <w:r>
        <w:rPr>
          <w:rFonts w:ascii="Arial" w:hAnsi="Arial"/>
          <w:b w:val="0"/>
          <w:i w:val="0"/>
          <w:sz w:val="20"/>
        </w:rPr>
        <w:t>•  Side-by-side pricing: FUZE vs selected competitor</w:t>
        <w:br/>
        <w:t>•  Cost per wash at 50-wash and 100-wash scenarios</w:t>
        <w:br/>
        <w:t>•  Highlight "unprotected washes" where competitor protection has failed</w:t>
        <w:br/>
        <w:t>•  Regional pricing with currency conversion (leveraging existing i18n)</w:t>
        <w:br/>
        <w:t>•  Include hidden costs: binder, curing, water usage, downtime</w:t>
      </w:r>
    </w:p>
    <w:p>
      <w:pPr>
        <w:pStyle w:val="Heading2"/>
      </w:pPr>
      <w:r>
        <w:rPr>
          <w:rFonts w:ascii="Arial" w:hAnsi="Arial"/>
          <w:color w:val="00707D"/>
        </w:rPr>
        <w:t>9.3 Environmental Score Card</w:t>
      </w:r>
    </w:p>
    <w:p>
      <w:pPr>
        <w:spacing w:after="120"/>
      </w:pPr>
      <w:r>
        <w:rPr>
          <w:rFonts w:ascii="Arial" w:hAnsi="Arial"/>
          <w:b w:val="0"/>
          <w:i w:val="0"/>
          <w:sz w:val="20"/>
        </w:rPr>
        <w:t>•  Generated per fabric when competitor is selected</w:t>
        <w:br/>
        <w:t>•  Chemistry saved, metals eliminated, water protected</w:t>
        <w:br/>
        <w:t>•  Carbon footprint comparison</w:t>
        <w:br/>
        <w:t>•  Composite A–F environmental grade</w:t>
        <w:br/>
        <w:t>•  Shareable/exportable as PDF for brand sustainability reports</w:t>
      </w:r>
    </w:p>
    <w:p>
      <w:pPr>
        <w:pStyle w:val="Heading2"/>
      </w:pPr>
      <w:r>
        <w:rPr>
          <w:rFonts w:ascii="Arial" w:hAnsi="Arial"/>
          <w:color w:val="00707D"/>
        </w:rPr>
        <w:t>9.4 Marketing Content Engine</w:t>
      </w:r>
    </w:p>
    <w:p>
      <w:pPr>
        <w:spacing w:after="120"/>
      </w:pPr>
      <w:r>
        <w:rPr>
          <w:rFonts w:ascii="Arial" w:hAnsi="Arial"/>
          <w:b w:val="0"/>
          <w:i w:val="0"/>
          <w:sz w:val="20"/>
        </w:rPr>
        <w:t>•  Auto-generated comparison cards for sales team</w:t>
        <w:br/>
        <w:t>•  Customer-facing environmental certificates</w:t>
        <w:br/>
        <w:t>•  Data-driven sustainability messaging</w:t>
        <w:br/>
        <w:t>•  Integration with fuzefaq.com pricing calculator (to be migrated into Atlas)</w:t>
      </w:r>
    </w:p>
    <w:p>
      <w:r>
        <w:br w:type="page"/>
      </w:r>
    </w:p>
    <w:p>
      <w:pPr>
        <w:pStyle w:val="Heading1"/>
      </w:pPr>
      <w:r>
        <w:rPr>
          <w:rFonts w:ascii="Arial" w:hAnsi="Arial"/>
          <w:color w:val="00505C"/>
        </w:rPr>
        <w:t>10. Sources &amp; References</w:t>
      </w:r>
    </w:p>
    <w:p>
      <w:pPr>
        <w:spacing w:after="120"/>
      </w:pPr>
      <w:r>
        <w:rPr>
          <w:rFonts w:ascii="Arial" w:hAnsi="Arial"/>
          <w:b w:val="0"/>
          <w:i w:val="0"/>
          <w:sz w:val="18"/>
        </w:rPr>
        <w:t>•  FUZE Technology EPA Approval - etextilecommunications.com (2024)</w:t>
      </w:r>
    </w:p>
    <w:p>
      <w:pPr>
        <w:spacing w:after="120"/>
      </w:pPr>
      <w:r>
        <w:rPr>
          <w:rFonts w:ascii="Arial" w:hAnsi="Arial"/>
          <w:b w:val="0"/>
          <w:i w:val="0"/>
          <w:sz w:val="18"/>
        </w:rPr>
        <w:t>•  FUZE Technical Bulletin - fuze47.com</w:t>
      </w:r>
    </w:p>
    <w:p>
      <w:pPr>
        <w:spacing w:after="120"/>
      </w:pPr>
      <w:r>
        <w:rPr>
          <w:rFonts w:ascii="Arial" w:hAnsi="Arial"/>
          <w:b w:val="0"/>
          <w:i w:val="0"/>
          <w:sz w:val="18"/>
        </w:rPr>
        <w:t>•  FUZE Technology Eyes FDA Approval - Textile Excellence</w:t>
      </w:r>
    </w:p>
    <w:p>
      <w:pPr>
        <w:spacing w:after="120"/>
      </w:pPr>
      <w:r>
        <w:rPr>
          <w:rFonts w:ascii="Arial" w:hAnsi="Arial"/>
          <w:b w:val="0"/>
          <w:i w:val="0"/>
          <w:sz w:val="18"/>
        </w:rPr>
        <w:t>•  WTS &amp; FUZE Sustainable Antimicrobial - Sourcing Journal</w:t>
      </w:r>
    </w:p>
    <w:p>
      <w:pPr>
        <w:spacing w:after="120"/>
      </w:pPr>
      <w:r>
        <w:rPr>
          <w:rFonts w:ascii="Arial" w:hAnsi="Arial"/>
          <w:b w:val="0"/>
          <w:i w:val="0"/>
          <w:sz w:val="18"/>
        </w:rPr>
        <w:t>•  Silvadur EPA Product Label - EPA FIFRA Registry (2021)</w:t>
      </w:r>
    </w:p>
    <w:p>
      <w:pPr>
        <w:spacing w:after="120"/>
      </w:pPr>
      <w:r>
        <w:rPr>
          <w:rFonts w:ascii="Arial" w:hAnsi="Arial"/>
          <w:b w:val="0"/>
          <w:i w:val="0"/>
          <w:sz w:val="18"/>
        </w:rPr>
        <w:t>•  Silvadur Antimicrobial Technology - LANXESS / Wazoodle Fabrics</w:t>
      </w:r>
    </w:p>
    <w:p>
      <w:pPr>
        <w:spacing w:after="120"/>
      </w:pPr>
      <w:r>
        <w:rPr>
          <w:rFonts w:ascii="Arial" w:hAnsi="Arial"/>
          <w:b w:val="0"/>
          <w:i w:val="0"/>
          <w:sz w:val="18"/>
        </w:rPr>
        <w:t>•  Polygiene StayFresh Technology - polygiene.com</w:t>
      </w:r>
    </w:p>
    <w:p>
      <w:pPr>
        <w:spacing w:after="120"/>
      </w:pPr>
      <w:r>
        <w:rPr>
          <w:rFonts w:ascii="Arial" w:hAnsi="Arial"/>
          <w:b w:val="0"/>
          <w:i w:val="0"/>
          <w:sz w:val="18"/>
        </w:rPr>
        <w:t>•  Silver Leaching from Textiles - Swedish Water &amp; Wastewater Association (2018)</w:t>
      </w:r>
    </w:p>
    <w:p>
      <w:pPr>
        <w:spacing w:after="120"/>
      </w:pPr>
      <w:r>
        <w:rPr>
          <w:rFonts w:ascii="Arial" w:hAnsi="Arial"/>
          <w:b w:val="0"/>
          <w:i w:val="0"/>
          <w:sz w:val="18"/>
        </w:rPr>
        <w:t>•  Odour-free silver-treated clothing toxic threat - Apparel Insider</w:t>
      </w:r>
    </w:p>
    <w:p>
      <w:pPr>
        <w:spacing w:after="120"/>
      </w:pPr>
      <w:r>
        <w:rPr>
          <w:rFonts w:ascii="Arial" w:hAnsi="Arial"/>
          <w:b w:val="0"/>
          <w:i w:val="0"/>
          <w:sz w:val="18"/>
        </w:rPr>
        <w:t>•  AEGIS Microbe Shield Technology - aegis-environmental.com / Microban</w:t>
      </w:r>
    </w:p>
    <w:p>
      <w:pPr>
        <w:spacing w:after="120"/>
      </w:pPr>
      <w:r>
        <w:rPr>
          <w:rFonts w:ascii="Arial" w:hAnsi="Arial"/>
          <w:b w:val="0"/>
          <w:i w:val="0"/>
          <w:sz w:val="18"/>
        </w:rPr>
        <w:t>•  Sanitized AG Silver &amp; Puretec Technologies - sanitized.com</w:t>
      </w:r>
    </w:p>
    <w:p>
      <w:pPr>
        <w:spacing w:after="120"/>
      </w:pPr>
      <w:r>
        <w:rPr>
          <w:rFonts w:ascii="Arial" w:hAnsi="Arial"/>
          <w:b w:val="0"/>
          <w:i w:val="0"/>
          <w:sz w:val="18"/>
        </w:rPr>
        <w:t>•  HeiQ Crescoating Zinc Nanocomposites - Nature Scientific Reports (2022)</w:t>
      </w:r>
    </w:p>
    <w:p>
      <w:pPr>
        <w:spacing w:after="120"/>
      </w:pPr>
      <w:r>
        <w:rPr>
          <w:rFonts w:ascii="Arial" w:hAnsi="Arial"/>
          <w:b w:val="0"/>
          <w:i w:val="0"/>
          <w:sz w:val="18"/>
        </w:rPr>
        <w:t>•  Quaternary Ammonium Compounds: Emerging Concern - Env Sci &amp; Tech (2023)</w:t>
      </w:r>
    </w:p>
    <w:p>
      <w:pPr>
        <w:spacing w:after="120"/>
      </w:pPr>
      <w:r>
        <w:rPr>
          <w:rFonts w:ascii="Arial" w:hAnsi="Arial"/>
          <w:b w:val="0"/>
          <w:i w:val="0"/>
          <w:sz w:val="18"/>
        </w:rPr>
        <w:t>•  QACs in Textiles and Laundry Wastewater - ChemRxiv (2025)</w:t>
      </w:r>
    </w:p>
    <w:p>
      <w:pPr>
        <w:spacing w:after="120"/>
      </w:pPr>
      <w:r>
        <w:rPr>
          <w:rFonts w:ascii="Arial" w:hAnsi="Arial"/>
          <w:b w:val="0"/>
          <w:i w:val="0"/>
          <w:sz w:val="18"/>
        </w:rPr>
        <w:t>•  Silver Nanoparticle Environmental Impacts - ACS Env Sci &amp; Tech (2016)</w:t>
      </w:r>
    </w:p>
    <w:p>
      <w:pPr>
        <w:spacing w:after="120"/>
      </w:pPr>
      <w:r>
        <w:rPr>
          <w:rFonts w:ascii="Arial" w:hAnsi="Arial"/>
          <w:b w:val="0"/>
          <w:i w:val="0"/>
          <w:sz w:val="18"/>
        </w:rPr>
        <w:t>•  Nanosilver T-Shirt LCA - ACS Env Sci &amp; Tech (2011)</w:t>
      </w:r>
    </w:p>
    <w:p>
      <w:pPr>
        <w:spacing w:after="120"/>
      </w:pPr>
      <w:r>
        <w:rPr>
          <w:rFonts w:ascii="Arial" w:hAnsi="Arial"/>
          <w:b w:val="0"/>
          <w:i w:val="0"/>
          <w:sz w:val="18"/>
        </w:rPr>
        <w:t>•  Silver NP in Clothing Wash Out - The Conversation</w:t>
      </w:r>
    </w:p>
    <w:p>
      <w:pPr>
        <w:spacing w:after="120"/>
      </w:pPr>
      <w:r>
        <w:rPr>
          <w:rFonts w:ascii="Arial" w:hAnsi="Arial"/>
          <w:b w:val="0"/>
          <w:i w:val="0"/>
          <w:sz w:val="18"/>
        </w:rPr>
        <w:t>•  Metal Leaching from Antimicrobial Masks - PMC (2021)</w:t>
      </w:r>
    </w:p>
    <w:p>
      <w:pPr>
        <w:spacing w:after="120"/>
      </w:pPr>
      <w:r>
        <w:rPr>
          <w:rFonts w:ascii="Arial" w:hAnsi="Arial"/>
          <w:b w:val="0"/>
          <w:i w:val="0"/>
          <w:sz w:val="18"/>
        </w:rPr>
        <w:t>•  Textile Binder Environmental Impact - sapub.org</w:t>
      </w:r>
    </w:p>
    <w:p>
      <w:pPr>
        <w:spacing w:after="120"/>
      </w:pPr>
      <w:r>
        <w:rPr>
          <w:rFonts w:ascii="Arial" w:hAnsi="Arial"/>
          <w:b w:val="0"/>
          <w:i w:val="0"/>
          <w:sz w:val="18"/>
        </w:rPr>
        <w:t>•  Controversy over antibacterial silver - PMC (2020)</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