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264"/>
      </w:pPr>
      <w:r>
        <w:rPr>
          <w:rFonts w:ascii="Calibri" w:cs="Calibri" w:eastAsia="Calibri" w:hAnsi="Calibri"/>
          <w:b/>
          <w:bCs/>
          <w:i w:val="false"/>
          <w:iCs w:val="false"/>
          <w:sz w:val="22"/>
          <w:szCs w:val="22"/>
        </w:rPr>
        <w:t xml:space="preserve">Subject: </w:t>
      </w:r>
      <w:r>
        <w:rPr>
          <w:rFonts w:ascii="Calibri" w:cs="Calibri" w:eastAsia="Calibri" w:hAnsi="Calibri"/>
          <w:b/>
          <w:bCs/>
          <w:i w:val="false"/>
          <w:iCs w:val="false"/>
          <w:sz w:val="22"/>
          <w:szCs w:val="22"/>
        </w:rPr>
        <w:t xml:space="preserve">Re: Fuze &amp; SanMar TB — the simplest path to consistent results across the mills</w:t>
      </w:r>
    </w:p>
    <w:p>
      <w:pPr>
        <w:spacing w:after="160" w:line="264"/>
      </w:pPr>
      <w:r>
        <w:rPr>
          <w:rFonts w:ascii="Calibri" w:cs="Calibri" w:eastAsia="Calibri" w:hAnsi="Calibri"/>
          <w:b w:val="false"/>
          <w:bCs w:val="false"/>
          <w:i w:val="false"/>
          <w:iCs w:val="false"/>
          <w:sz w:val="22"/>
          <w:szCs w:val="22"/>
        </w:rPr>
        <w:t xml:space="preserve">Hi Susan, and the Hong Kong team,</w:t>
      </w:r>
    </w:p>
    <w:p>
      <w:pPr>
        <w:spacing w:after="160" w:line="264"/>
      </w:pPr>
      <w:r>
        <w:rPr>
          <w:rFonts w:ascii="Calibri" w:cs="Calibri" w:eastAsia="Calibri" w:hAnsi="Calibri"/>
          <w:b w:val="false"/>
          <w:bCs w:val="false"/>
          <w:i w:val="false"/>
          <w:iCs w:val="false"/>
          <w:sz w:val="22"/>
          <w:szCs w:val="22"/>
        </w:rPr>
        <w:t xml:space="preserve">Stepping back from the individual reports for a second — here’s the real choice in front of us, because it’s the key to ending the result-to-result swing you’re seeing across the factories.</w:t>
      </w:r>
    </w:p>
    <w:p>
      <w:pPr>
        <w:spacing w:after="160" w:line="264"/>
      </w:pPr>
      <w:r>
        <w:rPr>
          <w:rFonts w:ascii="Calibri" w:cs="Calibri" w:eastAsia="Calibri" w:hAnsi="Calibri"/>
          <w:b w:val="false"/>
          <w:bCs w:val="false"/>
          <w:i w:val="false"/>
          <w:iCs w:val="false"/>
          <w:sz w:val="22"/>
          <w:szCs w:val="22"/>
        </w:rPr>
        <w:t xml:space="preserve">There are only two ways to make these numbers consistent across ten mills, different fabrics, and different labs:</w:t>
      </w:r>
    </w:p>
    <w:p>
      <w:pPr>
        <w:spacing w:after="160" w:line="264"/>
      </w:pPr>
      <w:r>
        <w:rPr>
          <w:rFonts w:ascii="Calibri" w:cs="Calibri" w:eastAsia="Calibri" w:hAnsi="Calibri"/>
          <w:b/>
          <w:bCs/>
          <w:i w:val="false"/>
          <w:iCs w:val="false"/>
          <w:sz w:val="22"/>
          <w:szCs w:val="22"/>
        </w:rPr>
        <w:t xml:space="preserve">1) Lock everyone to one identical protocol</w:t>
      </w:r>
      <w:r>
        <w:rPr>
          <w:rFonts w:ascii="Calibri" w:cs="Calibri" w:eastAsia="Calibri" w:hAnsi="Calibri"/>
          <w:b w:val="false"/>
          <w:bCs w:val="false"/>
          <w:i w:val="false"/>
          <w:iCs w:val="false"/>
          <w:sz w:val="22"/>
          <w:szCs w:val="22"/>
        </w:rPr>
        <w:t xml:space="preserve"> — same method, same lab setup, same sterilization, broth, contact time and organism — and enforce it on every factory and every lab, every time. That’s the technically perfect path, and it’s the protocol I sent on April 1. The catch is that it’s hard to police across ten mills and several labs, and any one of them drifting reintroduces the variance.</w:t>
      </w:r>
    </w:p>
    <w:p>
      <w:pPr>
        <w:spacing w:after="160" w:line="264"/>
      </w:pPr>
      <w:r>
        <w:rPr>
          <w:rFonts w:ascii="Calibri" w:cs="Calibri" w:eastAsia="Calibri" w:hAnsi="Calibri"/>
          <w:b/>
          <w:bCs/>
          <w:i w:val="false"/>
          <w:iCs w:val="false"/>
          <w:sz w:val="22"/>
          <w:szCs w:val="22"/>
        </w:rPr>
        <w:t xml:space="preserve">2) Standardize the dose instead of the lab</w:t>
      </w:r>
      <w:r>
        <w:rPr>
          <w:rFonts w:ascii="Calibri" w:cs="Calibri" w:eastAsia="Calibri" w:hAnsi="Calibri"/>
          <w:b w:val="false"/>
          <w:bCs w:val="false"/>
          <w:i w:val="false"/>
          <w:iCs w:val="false"/>
          <w:sz w:val="22"/>
          <w:szCs w:val="22"/>
        </w:rPr>
        <w:t xml:space="preserve"> — if we’re not going to police every factory and lab, we simply put more product on: start every SanMar factory at our F1 tier (1.0 mg/kg). The higher loading overwhelms the lab-to-lab and chemistry differences and passes cleanly on every method and organism, including the layered AATCC / JIS tests. We get the whole program approved across all fronts, then draw the dose back down per fabric once the baseline is locked.</w:t>
      </w:r>
    </w:p>
    <w:p>
      <w:pPr>
        <w:spacing w:after="160" w:line="264"/>
      </w:pPr>
      <w:r>
        <w:rPr>
          <w:rFonts w:ascii="Calibri" w:cs="Calibri" w:eastAsia="Calibri" w:hAnsi="Calibri"/>
          <w:b/>
          <w:bCs/>
          <w:i w:val="false"/>
          <w:iCs w:val="false"/>
          <w:sz w:val="22"/>
          <w:szCs w:val="22"/>
        </w:rPr>
        <w:t xml:space="preserve">My recommendation is #2.</w:t>
      </w:r>
      <w:r>
        <w:rPr>
          <w:rFonts w:ascii="Calibri" w:cs="Calibri" w:eastAsia="Calibri" w:hAnsi="Calibri"/>
          <w:b w:val="false"/>
          <w:bCs w:val="false"/>
          <w:i w:val="false"/>
          <w:iCs w:val="false"/>
          <w:sz w:val="22"/>
          <w:szCs w:val="22"/>
        </w:rPr>
        <w:t xml:space="preserve"> It’s the fastest route to immediate, consistent approvals, and it takes the guesswork away from the factories. The few cents of extra active per yard is nothing next to the months we’d spend chasing results that land 5% under an arbitrary line.</w:t>
      </w:r>
    </w:p>
    <w:p>
      <w:pPr>
        <w:spacing w:after="160" w:line="264"/>
      </w:pPr>
      <w:r>
        <w:rPr>
          <w:rFonts w:ascii="Calibri" w:cs="Calibri" w:eastAsia="Calibri" w:hAnsi="Calibri"/>
          <w:b w:val="false"/>
          <w:bCs w:val="false"/>
          <w:i w:val="false"/>
          <w:iCs w:val="false"/>
          <w:sz w:val="22"/>
          <w:szCs w:val="22"/>
        </w:rPr>
        <w:t xml:space="preserve">To your two questions, briefly:</w:t>
      </w:r>
    </w:p>
    <w:p>
      <w:pPr>
        <w:spacing w:after="160" w:line="264"/>
      </w:pPr>
      <w:r>
        <w:rPr>
          <w:rFonts w:ascii="Calibri" w:cs="Calibri" w:eastAsia="Calibri" w:hAnsi="Calibri"/>
          <w:b/>
          <w:bCs/>
          <w:i w:val="false"/>
          <w:iCs w:val="false"/>
          <w:sz w:val="22"/>
          <w:szCs w:val="22"/>
        </w:rPr>
        <w:t xml:space="preserve">Acceptance % on ASTM E2149, before and after 15 washes</w:t>
      </w:r>
      <w:r>
        <w:rPr>
          <w:rFonts w:ascii="Calibri" w:cs="Calibri" w:eastAsia="Calibri" w:hAnsi="Calibri"/>
          <w:b w:val="false"/>
          <w:bCs w:val="false"/>
          <w:i w:val="false"/>
          <w:iCs w:val="false"/>
          <w:sz w:val="22"/>
          <w:szCs w:val="22"/>
        </w:rPr>
        <w:t xml:space="preserve"> — 99% or better (2-log) at time zero, held through the rated washes. At F1 with a correct setup that’s very comfortable: Wuxi’s corrected E. coli run came back at 99.99% (UV sterilization, low-sulfur Mueller Hinton broth, 24-hour contact). For perspective, even a 90% reduction holds roughly 150,000 organisms that would otherwise pass 7 trillion in 24 hours — complete odor control.</w:t>
      </w:r>
    </w:p>
    <w:p>
      <w:pPr>
        <w:spacing w:after="160" w:line="264"/>
      </w:pPr>
      <w:r>
        <w:rPr>
          <w:rFonts w:ascii="Calibri" w:cs="Calibri" w:eastAsia="Calibri" w:hAnsi="Calibri"/>
          <w:b/>
          <w:bCs/>
          <w:i w:val="false"/>
          <w:iCs w:val="false"/>
          <w:sz w:val="22"/>
          <w:szCs w:val="22"/>
        </w:rPr>
        <w:t xml:space="preserve">“Shouldn’t results be better after laundering?”</w:t>
      </w:r>
      <w:r>
        <w:rPr>
          <w:rFonts w:ascii="Calibri" w:cs="Calibri" w:eastAsia="Calibri" w:hAnsi="Calibri"/>
          <w:b w:val="false"/>
          <w:bCs w:val="false"/>
          <w:i w:val="false"/>
          <w:iCs w:val="false"/>
          <w:sz w:val="22"/>
          <w:szCs w:val="22"/>
        </w:rPr>
        <w:t xml:space="preserve"> — You’d expect that, and the real driver here is the finishing chemistry: several of these mills are running heavy softeners and wicking agents that sit on top of the fiber and block FUZE from contacting bacteria, which suppresses the wash-0 numbers. Those finishes don’t even survive five washes. The metamaterial underneath is performing — the competing chemistry is masking it early on. Starting at F1 puts enough in place to work right through that, which is the cleanest fix.</w:t>
      </w:r>
    </w:p>
    <w:p>
      <w:pPr>
        <w:spacing w:after="160" w:line="264"/>
      </w:pPr>
      <w:r>
        <w:rPr>
          <w:rFonts w:ascii="Calibri" w:cs="Calibri" w:eastAsia="Calibri" w:hAnsi="Calibri"/>
          <w:b/>
          <w:bCs/>
          <w:i w:val="false"/>
          <w:iCs w:val="false"/>
          <w:sz w:val="22"/>
          <w:szCs w:val="22"/>
        </w:rPr>
        <w:t xml:space="preserve">Why ASTM “looks worse” than the JIS / AATCC numbers</w:t>
      </w:r>
      <w:r>
        <w:rPr>
          <w:rFonts w:ascii="Calibri" w:cs="Calibri" w:eastAsia="Calibri" w:hAnsi="Calibri"/>
          <w:b w:val="false"/>
          <w:bCs w:val="false"/>
          <w:i w:val="false"/>
          <w:iCs w:val="false"/>
          <w:sz w:val="22"/>
          <w:szCs w:val="22"/>
        </w:rPr>
        <w:t xml:space="preserve"> — it’s a harder, more honest test, not weaker product. AATCC 100 and JIS are absorption tests that read high for almost any finish; ASTM E2149 is the dynamic contact test built for non-leaching chemistries like ours. The proof it’s test setup and not chemistry: one factory ran nearly double the dose and still read lower on E2149. If doubling the active doesn’t move the number, the dose was never the variable; the test parameters were. F1 across the board makes all of that moot.</w:t>
      </w:r>
    </w:p>
    <w:p>
      <w:pPr>
        <w:spacing w:after="160" w:line="264"/>
      </w:pPr>
      <w:r>
        <w:rPr>
          <w:rFonts w:ascii="Calibri" w:cs="Calibri" w:eastAsia="Calibri" w:hAnsi="Calibri"/>
          <w:b w:val="false"/>
          <w:bCs w:val="false"/>
          <w:i w:val="false"/>
          <w:iCs w:val="false"/>
          <w:sz w:val="22"/>
          <w:szCs w:val="22"/>
        </w:rPr>
        <w:t xml:space="preserve">If you’re good with it, let’s move every current SanMar style to the F1 baseline now and get them approved, then optimize from there. Happy to take 15 minutes with you and the Hong Kong team to walk it through.</w:t>
      </w:r>
    </w:p>
    <w:p>
      <w:pPr>
        <w:spacing w:after="0" w:line="264"/>
      </w:pPr>
      <w:r>
        <w:rPr>
          <w:rFonts w:ascii="Calibri" w:cs="Calibri" w:eastAsia="Calibri" w:hAnsi="Calibri"/>
          <w:b w:val="false"/>
          <w:bCs w:val="false"/>
          <w:i w:val="false"/>
          <w:iCs w:val="false"/>
          <w:sz w:val="22"/>
          <w:szCs w:val="22"/>
        </w:rPr>
        <w:t xml:space="preserve">Best,</w:t>
      </w:r>
    </w:p>
    <w:p>
      <w:pPr>
        <w:spacing w:after="0" w:line="264"/>
      </w:pPr>
      <w:r>
        <w:rPr>
          <w:rFonts w:ascii="Calibri" w:cs="Calibri" w:eastAsia="Calibri" w:hAnsi="Calibri"/>
          <w:b w:val="false"/>
          <w:bCs w:val="false"/>
          <w:i w:val="false"/>
          <w:iCs w:val="false"/>
          <w:sz w:val="22"/>
          <w:szCs w:val="22"/>
        </w:rPr>
        <w:t xml:space="preserve">Andrew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2026-06-04T21:11:23.231Z</dcterms:created>
  <dcterms:modified xsi:type="dcterms:W3CDTF">2026-06-04T21:11:23.231Z</dcterms:modified>
</cp:coreProperties>
</file>

<file path=docProps/custom.xml><?xml version="1.0" encoding="utf-8"?>
<Properties xmlns="http://schemas.openxmlformats.org/officeDocument/2006/custom-properties" xmlns:vt="http://schemas.openxmlformats.org/officeDocument/2006/docPropsVTypes"/>
</file>