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0B4C3"/>
          <w:sz w:val="96"/>
          <w:szCs w:val="96"/>
        </w:rPr>
        <w:t xml:space="preserve">FUZE</w:t>
      </w:r>
    </w:p>
    <w:p>
      <w:pPr>
        <w:spacing w:after="120"/>
        <w:jc w:val="center"/>
      </w:pPr>
      <w:r>
        <w:rPr>
          <w:rFonts w:ascii="Arial" w:cs="Arial" w:eastAsia="Arial" w:hAnsi="Arial"/>
          <w:color w:val="0A2A33"/>
          <w:sz w:val="28"/>
          <w:szCs w:val="28"/>
        </w:rPr>
        <w:t xml:space="preserve">Antimicrobial Textile Treatment</w:t>
      </w:r>
    </w:p>
    <w:p>
      <w:pPr>
        <w:spacing w:after="960"/>
        <w:jc w:val="center"/>
      </w:pPr>
      <w:r>
        <w:rPr>
          <w:rFonts w:ascii="Arial" w:cs="Arial" w:eastAsia="Arial" w:hAnsi="Arial"/>
          <w:color w:val="00B4C3"/>
          <w:sz w:val="24"/>
          <w:szCs w:val="24"/>
        </w:rPr>
        <w:t xml:space="preserve">─────────────────────</w:t>
      </w:r>
    </w:p>
    <w:p>
      <w:pPr>
        <w:spacing w:after="240"/>
        <w:jc w:val="center"/>
      </w:pPr>
      <w:r>
        <w:rPr>
          <w:rFonts w:ascii="Arial" w:cs="Arial" w:eastAsia="Arial" w:hAnsi="Arial"/>
          <w:b/>
          <w:bCs/>
          <w:color w:val="0A2A33"/>
          <w:sz w:val="56"/>
          <w:szCs w:val="56"/>
        </w:rPr>
        <w:t xml:space="preserve">Life Cycle Analysis</w:t>
      </w:r>
    </w:p>
    <w:p>
      <w:pPr>
        <w:spacing w:after="1200"/>
        <w:jc w:val="center"/>
      </w:pPr>
      <w:r>
        <w:rPr>
          <w:rFonts w:ascii="Arial" w:cs="Arial" w:eastAsia="Arial" w:hAnsi="Arial"/>
          <w:i/>
          <w:iCs/>
          <w:color w:val="374151"/>
          <w:sz w:val="28"/>
          <w:szCs w:val="28"/>
        </w:rPr>
        <w:t xml:space="preserve">Cradle-to-Grave Sustainability Assessment</w:t>
      </w:r>
    </w:p>
    <w:p>
      <w:pPr>
        <w:spacing w:after="240"/>
        <w:jc w:val="center"/>
      </w:pPr>
      <w:r>
        <w:rPr>
          <w:rFonts w:ascii="Arial" w:cs="Arial" w:eastAsia="Arial" w:hAnsi="Arial"/>
          <w:color w:val="374151"/>
          <w:sz w:val="22"/>
          <w:szCs w:val="22"/>
        </w:rPr>
        <w:t xml:space="preserve">Prepared for</w:t>
      </w:r>
    </w:p>
    <w:p>
      <w:pPr>
        <w:spacing w:after="1200"/>
        <w:jc w:val="center"/>
      </w:pPr>
      <w:r>
        <w:rPr>
          <w:rFonts w:ascii="Arial" w:cs="Arial" w:eastAsia="Arial" w:hAnsi="Arial"/>
          <w:b/>
          <w:bCs/>
          <w:color w:val="0A2A33"/>
          <w:sz w:val="40"/>
          <w:szCs w:val="40"/>
        </w:rPr>
        <w:t xml:space="preserve">PVH Corp.</w:t>
      </w:r>
    </w:p>
    <w:p>
      <w:pPr>
        <w:spacing w:after="120"/>
        <w:jc w:val="center"/>
      </w:pPr>
      <w:r>
        <w:rPr>
          <w:rFonts w:ascii="Arial" w:cs="Arial" w:eastAsia="Arial" w:hAnsi="Arial"/>
          <w:b/>
          <w:bCs/>
          <w:color w:val="0A2A33"/>
          <w:sz w:val="22"/>
          <w:szCs w:val="22"/>
        </w:rPr>
        <w:t xml:space="preserve">FUZE Biotech</w:t>
      </w:r>
    </w:p>
    <w:p>
      <w:pPr>
        <w:spacing w:after="60"/>
        <w:jc w:val="center"/>
      </w:pPr>
      <w:r>
        <w:rPr>
          <w:rFonts w:ascii="Arial" w:cs="Arial" w:eastAsia="Arial" w:hAnsi="Arial"/>
          <w:color w:val="374151"/>
          <w:sz w:val="20"/>
          <w:szCs w:val="20"/>
        </w:rPr>
        <w:t xml:space="preserve">1895 West 2100 South · Salt Lake City, Utah 84119 USA</w:t>
      </w:r>
    </w:p>
    <w:p>
      <w:pPr>
        <w:spacing w:after="60"/>
        <w:jc w:val="center"/>
      </w:pPr>
      <w:r>
        <w:rPr>
          <w:rFonts w:ascii="Arial" w:cs="Arial" w:eastAsia="Arial" w:hAnsi="Arial"/>
          <w:color w:val="374151"/>
          <w:sz w:val="20"/>
          <w:szCs w:val="20"/>
        </w:rPr>
        <w:t xml:space="preserve">Andrew Peterson · CEO · andrew@fuze47.com</w:t>
      </w:r>
    </w:p>
    <w:p>
      <w:pPr>
        <w:spacing w:after="0"/>
        <w:jc w:val="center"/>
      </w:pPr>
      <w:r>
        <w:rPr>
          <w:rFonts w:ascii="Arial" w:cs="Arial" w:eastAsia="Arial" w:hAnsi="Arial"/>
          <w:i/>
          <w:iCs/>
          <w:color w:val="374151"/>
          <w:sz w:val="20"/>
          <w:szCs w:val="20"/>
        </w:rPr>
        <w:t xml:space="preserve">May 2026</w:t>
      </w:r>
    </w:p>
    <w:p>
      <w:r>
        <w:br w:type="page"/>
      </w:r>
    </w:p>
    <w:p>
      <w:pPr>
        <w:pStyle w:val="Heading1"/>
        <w:spacing w:after="200" w:before="320"/>
      </w:pPr>
      <w:r>
        <w:rPr>
          <w:rFonts w:ascii="Arial" w:cs="Arial" w:eastAsia="Arial" w:hAnsi="Arial"/>
          <w:b/>
          <w:bCs/>
          <w:color w:val="0A2A33"/>
          <w:sz w:val="32"/>
          <w:szCs w:val="32"/>
        </w:rPr>
        <w:t xml:space="preserve">Executive Summary</w:t>
      </w:r>
    </w:p>
    <w:p>
      <w:pPr>
        <w:spacing w:after="120"/>
      </w:pPr>
      <w:r>
        <w:rPr>
          <w:rFonts w:ascii="Arial" w:cs="Arial" w:eastAsia="Arial" w:hAnsi="Arial"/>
          <w:b w:val="false"/>
          <w:bCs w:val="false"/>
          <w:i w:val="false"/>
          <w:iCs w:val="false"/>
          <w:color w:val="374151"/>
          <w:sz w:val="22"/>
          <w:szCs w:val="22"/>
        </w:rPr>
        <w:t xml:space="preserve">FUZE is a proprietary antimicrobial textile treatment composed of a high-density allotrope metamaterial dispersed in 99.998% ultrapure deionized water at 30 mg/L. It bonds to fiber surfaces during standard textile finishing and provides durable antimicrobial protection across F1 Full Spectrum (100 industrial wash cycles), F2 Advanced (75), F3 Core (50), and F4 Foundation (25) tiers. The active mechanism is non-leaching contact-kill: bacteria and other microorganisms are dismantled on contact with the metamaterial-bonded fiber surface rather than via release of ions into the surrounding moisture.</w:t>
      </w:r>
    </w:p>
    <w:p>
      <w:pPr>
        <w:spacing w:after="120"/>
      </w:pPr>
      <w:r>
        <w:rPr>
          <w:rFonts w:ascii="Arial" w:cs="Arial" w:eastAsia="Arial" w:hAnsi="Arial"/>
          <w:b w:val="false"/>
          <w:bCs w:val="false"/>
          <w:i w:val="false"/>
          <w:iCs w:val="false"/>
          <w:color w:val="374151"/>
          <w:sz w:val="22"/>
          <w:szCs w:val="22"/>
        </w:rPr>
        <w:t xml:space="preserve">This life cycle analysis follows the ISO 14040/14044 framework. The functional unit is one square meter of FUZE-treated knit textile at F1 Full Spectrum tier (1.0 mg/kg metamaterial loading on fabric of 200 g/m² mass) over the use-phase service life of 100 industrial wash cycles. The system boundary is cradle-to-grave: from feedstock acquisition through end-of-life disposal.</w:t>
      </w:r>
    </w:p>
    <w:p>
      <w:pPr>
        <w:spacing w:after="80"/>
      </w:pPr>
      <w:r>
        <w:rPr>
          <w:rFonts w:ascii="Arial" w:cs="Arial" w:eastAsia="Arial" w:hAnsi="Arial"/>
          <w:b/>
          <w:bCs/>
          <w:i w:val="false"/>
          <w:iCs w:val="false"/>
          <w:color w:val="374151"/>
          <w:sz w:val="22"/>
          <w:szCs w:val="22"/>
        </w:rPr>
        <w:t xml:space="preserve">Findings across the five life-cycle stages:</w:t>
      </w:r>
    </w:p>
    <w:p>
      <w:pPr>
        <w:pStyle w:val="ListParagraph"/>
        <w:numPr>
          <w:ilvl w:val="0"/>
          <w:numId w:val="2"/>
        </w:numPr>
        <w:spacing w:after="80"/>
      </w:pPr>
      <w:r>
        <w:rPr>
          <w:rFonts w:ascii="Arial" w:cs="Arial" w:eastAsia="Arial" w:hAnsi="Arial"/>
          <w:color w:val="374151"/>
          <w:sz w:val="22"/>
          <w:szCs w:val="22"/>
        </w:rPr>
        <w:t xml:space="preserve">Production: feedstock is recycled electronics processed via liquid laser ablation. A 30-amp laser on a 1 m² production table is solar-capable, supporting a fully renewable production footprint at scale.</w:t>
      </w:r>
    </w:p>
    <w:p>
      <w:pPr>
        <w:pStyle w:val="ListParagraph"/>
        <w:numPr>
          <w:ilvl w:val="0"/>
          <w:numId w:val="2"/>
        </w:numPr>
        <w:spacing w:after="80"/>
      </w:pPr>
      <w:r>
        <w:rPr>
          <w:rFonts w:ascii="Arial" w:cs="Arial" w:eastAsia="Arial" w:hAnsi="Arial"/>
          <w:color w:val="374151"/>
          <w:sz w:val="22"/>
          <w:szCs w:val="22"/>
        </w:rPr>
        <w:t xml:space="preserve">Distribution: identical packaging and freight profile to incumbent antimicrobial chemistries (19 L carboys; 608 L gaylords; 6,080 L per 20-foot container).</w:t>
      </w:r>
    </w:p>
    <w:p>
      <w:pPr>
        <w:pStyle w:val="ListParagraph"/>
        <w:numPr>
          <w:ilvl w:val="0"/>
          <w:numId w:val="2"/>
        </w:numPr>
        <w:spacing w:after="80"/>
      </w:pPr>
      <w:r>
        <w:rPr>
          <w:rFonts w:ascii="Arial" w:cs="Arial" w:eastAsia="Arial" w:hAnsi="Arial"/>
          <w:color w:val="374151"/>
          <w:sz w:val="22"/>
          <w:szCs w:val="22"/>
        </w:rPr>
        <w:t xml:space="preserve">Application: FUZE applies on existing textile finishing equipment via exhaust, pad-dry-cure, or spray. Cure temperature 150–170 °C uses the mill's existing oven infrastructure. No formaldehyde-releasing crosslinkers, no PFAS, no binders required.</w:t>
      </w:r>
    </w:p>
    <w:p>
      <w:pPr>
        <w:pStyle w:val="ListParagraph"/>
        <w:numPr>
          <w:ilvl w:val="0"/>
          <w:numId w:val="2"/>
        </w:numPr>
        <w:spacing w:after="80"/>
      </w:pPr>
      <w:r>
        <w:rPr>
          <w:rFonts w:ascii="Arial" w:cs="Arial" w:eastAsia="Arial" w:hAnsi="Arial"/>
          <w:color w:val="374151"/>
          <w:sz w:val="22"/>
          <w:szCs w:val="22"/>
        </w:rPr>
        <w:t xml:space="preserve">Use phase: non-leaching by design. Metamaterial does not migrate into wash effluent, eliminating the wastewater impact pathway that traditional antimicrobial chemistries impose. Durability through 100 industrial washes is documented by third-party testing under AATCC 100 and ISO 20743 protocols.</w:t>
      </w:r>
    </w:p>
    <w:p>
      <w:pPr>
        <w:pStyle w:val="ListParagraph"/>
        <w:numPr>
          <w:ilvl w:val="0"/>
          <w:numId w:val="2"/>
        </w:numPr>
        <w:spacing w:after="80"/>
      </w:pPr>
      <w:r>
        <w:rPr>
          <w:rFonts w:ascii="Arial" w:cs="Arial" w:eastAsia="Arial" w:hAnsi="Arial"/>
          <w:color w:val="374151"/>
          <w:sz w:val="22"/>
          <w:szCs w:val="22"/>
        </w:rPr>
        <w:t xml:space="preserve">End-of-life: fiber recyclability is preserved (mechanical and chemical). The bonded metamaterial does not interfere with depolymerization or fiber-to-fiber recycling. No environmental persistence concerns are introduced by the FUZE layer.</w:t>
      </w:r>
    </w:p>
    <w:p>
      <w:pPr>
        <w:spacing w:after="12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2D4" w:sz="4"/>
              <w:left w:val="single" w:color="CCD2D4" w:sz="4"/>
              <w:bottom w:val="single" w:color="CCD2D4" w:sz="4"/>
              <w:right w:val="single" w:color="CCD2D4" w:sz="4"/>
            </w:tcBorders>
            <w:shd w:fill="F4F6F7" w:val="clear"/>
            <w:tcMar>
              <w:top w:type="dxa" w:w="200"/>
              <w:left w:type="dxa" w:w="220"/>
              <w:bottom w:type="dxa" w:w="200"/>
              <w:right w:type="dxa" w:w="220"/>
            </w:tcMar>
          </w:tcPr>
          <w:p>
            <w:pPr>
              <w:spacing w:after="80"/>
            </w:pPr>
            <w:r>
              <w:rPr>
                <w:rFonts w:ascii="Arial" w:cs="Arial" w:eastAsia="Arial" w:hAnsi="Arial"/>
                <w:b/>
                <w:bCs/>
                <w:color w:val="00B4C3"/>
                <w:sz w:val="18"/>
                <w:szCs w:val="18"/>
              </w:rPr>
              <w:t xml:space="preserve">AT A GLANCE — FUZE F1 TREATMENT, 1 m² OF 200 g/m² KNIT FABRIC</w:t>
            </w:r>
          </w:p>
          <w:p>
            <w:pPr>
              <w:spacing w:after="60"/>
            </w:pPr>
            <w:r>
              <w:rPr>
                <w:rFonts w:ascii="Arial" w:cs="Arial" w:eastAsia="Arial" w:hAnsi="Arial"/>
                <w:color w:val="374151"/>
                <w:sz w:val="21"/>
                <w:szCs w:val="21"/>
              </w:rPr>
              <w:t xml:space="preserve">Active metamaterial on fabric: 0.20 mg per m² (1.0 mg/kg × 0.2 kg)</w:t>
            </w:r>
          </w:p>
          <w:p>
            <w:pPr>
              <w:spacing w:after="60"/>
            </w:pPr>
            <w:r>
              <w:rPr>
                <w:rFonts w:ascii="Arial" w:cs="Arial" w:eastAsia="Arial" w:hAnsi="Arial"/>
                <w:color w:val="374151"/>
                <w:sz w:val="21"/>
                <w:szCs w:val="21"/>
              </w:rPr>
              <w:t xml:space="preserve">FUZE stock liquid required: 6.67 mL of 30 mg/L solution (diluted in DI water)</w:t>
            </w:r>
          </w:p>
          <w:p>
            <w:pPr>
              <w:spacing w:after="60"/>
            </w:pPr>
            <w:r>
              <w:rPr>
                <w:rFonts w:ascii="Arial" w:cs="Arial" w:eastAsia="Arial" w:hAnsi="Arial"/>
                <w:color w:val="374151"/>
                <w:sz w:val="21"/>
                <w:szCs w:val="21"/>
              </w:rPr>
              <w:t xml:space="preserve">Application energy: integrated with the mill's existing curing oven cycle (≈ 0.05–0.10 kWh/m² incremental)</w:t>
            </w:r>
          </w:p>
          <w:p>
            <w:pPr>
              <w:spacing w:after="60"/>
            </w:pPr>
            <w:r>
              <w:rPr>
                <w:rFonts w:ascii="Arial" w:cs="Arial" w:eastAsia="Arial" w:hAnsi="Arial"/>
                <w:color w:val="374151"/>
                <w:sz w:val="21"/>
                <w:szCs w:val="21"/>
              </w:rPr>
              <w:t xml:space="preserve">Use phase durability: 100 industrial wash cycles validated to AATCC 100 / ISO 20743</w:t>
            </w:r>
          </w:p>
          <w:p>
            <w:pPr>
              <w:spacing w:after="60"/>
            </w:pPr>
            <w:r>
              <w:rPr>
                <w:rFonts w:ascii="Arial" w:cs="Arial" w:eastAsia="Arial" w:hAnsi="Arial"/>
                <w:color w:val="374151"/>
                <w:sz w:val="21"/>
                <w:szCs w:val="21"/>
              </w:rPr>
              <w:t xml:space="preserve">Wash-phase metamaterial release: not detected (non-leaching by design)</w:t>
            </w:r>
          </w:p>
          <w:p>
            <w:pPr>
              <w:spacing w:after="60"/>
            </w:pPr>
            <w:r>
              <w:rPr>
                <w:rFonts w:ascii="Arial" w:cs="Arial" w:eastAsia="Arial" w:hAnsi="Arial"/>
                <w:color w:val="374151"/>
                <w:sz w:val="21"/>
                <w:szCs w:val="21"/>
              </w:rPr>
              <w:t xml:space="preserve">Certifications: OEKO-TEX Standard 100 Class I, bluesign® approved, EPA federally registered, California EPA approved (Q1 2026), PFAS-free attestation on file</w:t>
            </w:r>
          </w:p>
        </w:tc>
      </w:tr>
    </w:tbl>
    <w:p>
      <w:r>
        <w:br w:type="page"/>
      </w:r>
    </w:p>
    <w:p>
      <w:pPr>
        <w:pStyle w:val="Heading1"/>
        <w:spacing w:after="200" w:before="320"/>
      </w:pPr>
      <w:r>
        <w:rPr>
          <w:rFonts w:ascii="Arial" w:cs="Arial" w:eastAsia="Arial" w:hAnsi="Arial"/>
          <w:b/>
          <w:bCs/>
          <w:color w:val="0A2A33"/>
          <w:sz w:val="32"/>
          <w:szCs w:val="32"/>
        </w:rPr>
        <w:t xml:space="preserve">1. Goal, Scope, and Methodology</w:t>
      </w:r>
    </w:p>
    <w:p>
      <w:pPr>
        <w:pStyle w:val="Heading2"/>
        <w:spacing w:after="140" w:before="240"/>
      </w:pPr>
      <w:r>
        <w:rPr>
          <w:rFonts w:ascii="Arial" w:cs="Arial" w:eastAsia="Arial" w:hAnsi="Arial"/>
          <w:b/>
          <w:bCs/>
          <w:color w:val="00B4C3"/>
          <w:sz w:val="26"/>
          <w:szCs w:val="26"/>
        </w:rPr>
        <w:t xml:space="preserve">1.1 Purpose</w:t>
      </w:r>
    </w:p>
    <w:p>
      <w:pPr>
        <w:spacing w:after="120"/>
      </w:pPr>
      <w:r>
        <w:rPr>
          <w:rFonts w:ascii="Arial" w:cs="Arial" w:eastAsia="Arial" w:hAnsi="Arial"/>
          <w:b w:val="false"/>
          <w:bCs w:val="false"/>
          <w:i w:val="false"/>
          <w:iCs w:val="false"/>
          <w:color w:val="374151"/>
          <w:sz w:val="22"/>
          <w:szCs w:val="22"/>
        </w:rPr>
        <w:t xml:space="preserve">This document provides PVH Corp. with a structured life-cycle assessment of the FUZE antimicrobial treatment to support evaluation against PVH's Forward Fashion commitments — specifically the targets to eliminate hazardous chemistry, achieve closed-loop water, reach 100% renewable energy in operations, and preserve material recyclability at end-of-life.</w:t>
      </w:r>
    </w:p>
    <w:p>
      <w:pPr>
        <w:spacing w:after="120"/>
      </w:pPr>
      <w:r>
        <w:rPr>
          <w:rFonts w:ascii="Arial" w:cs="Arial" w:eastAsia="Arial" w:hAnsi="Arial"/>
          <w:b w:val="false"/>
          <w:bCs w:val="false"/>
          <w:i w:val="false"/>
          <w:iCs w:val="false"/>
          <w:color w:val="374151"/>
          <w:sz w:val="22"/>
          <w:szCs w:val="22"/>
        </w:rPr>
        <w:t xml:space="preserve">FUZE is positioned as a replacement for incumbent antimicrobial chemistries (silver chloride / silver-ion finishes, quaternary ammonium compounds, and zinc pyrithione formulations) in apparel, intimates, performance, hospitality, healthcare, and home-textile applications. This LCA quantifies and contextualizes the environmental profile of FUZE so PVH sustainability and material innovation teams can make a side-by-side comparison.</w:t>
      </w:r>
    </w:p>
    <w:p>
      <w:pPr>
        <w:pStyle w:val="Heading2"/>
        <w:spacing w:after="140" w:before="240"/>
      </w:pPr>
      <w:r>
        <w:rPr>
          <w:rFonts w:ascii="Arial" w:cs="Arial" w:eastAsia="Arial" w:hAnsi="Arial"/>
          <w:b/>
          <w:bCs/>
          <w:color w:val="00B4C3"/>
          <w:sz w:val="26"/>
          <w:szCs w:val="26"/>
        </w:rPr>
        <w:t xml:space="preserve">1.2 LCA Framework</w:t>
      </w:r>
    </w:p>
    <w:p>
      <w:pPr>
        <w:spacing w:after="120"/>
      </w:pPr>
      <w:r>
        <w:rPr>
          <w:rFonts w:ascii="Arial" w:cs="Arial" w:eastAsia="Arial" w:hAnsi="Arial"/>
          <w:b w:val="false"/>
          <w:bCs w:val="false"/>
          <w:i w:val="false"/>
          <w:iCs w:val="false"/>
          <w:color w:val="374151"/>
          <w:sz w:val="22"/>
          <w:szCs w:val="22"/>
        </w:rPr>
        <w:t xml:space="preserve">Methodology follows ISO 14040:2006 (Life Cycle Assessment — Principles and Framework) and ISO 14044:2006 (Requirements and Guidelines). Where quantitative data is incomplete, this assessment is explicit about which figures are measured, which are estimates derived from textile-industry conventions, and which are qualitative comparisons. No category is reported with a precision higher than the underlying data supports.</w:t>
      </w:r>
    </w:p>
    <w:p>
      <w:pPr>
        <w:pStyle w:val="Heading2"/>
        <w:spacing w:after="140" w:before="240"/>
      </w:pPr>
      <w:r>
        <w:rPr>
          <w:rFonts w:ascii="Arial" w:cs="Arial" w:eastAsia="Arial" w:hAnsi="Arial"/>
          <w:b/>
          <w:bCs/>
          <w:color w:val="00B4C3"/>
          <w:sz w:val="26"/>
          <w:szCs w:val="26"/>
        </w:rPr>
        <w:t xml:space="preserve">1.3 Functional Unit</w:t>
      </w:r>
    </w:p>
    <w:p>
      <w:pPr>
        <w:spacing w:after="120"/>
      </w:pPr>
      <w:r>
        <w:rPr>
          <w:rFonts w:ascii="Arial" w:cs="Arial" w:eastAsia="Arial" w:hAnsi="Arial"/>
          <w:b w:val="false"/>
          <w:bCs w:val="false"/>
          <w:i w:val="false"/>
          <w:iCs w:val="false"/>
          <w:color w:val="374151"/>
          <w:sz w:val="22"/>
          <w:szCs w:val="22"/>
        </w:rPr>
        <w:t xml:space="preserve">The functional unit is one (1) square meter of knit textile of 200 g/m² basis weight, treated to F1 Full Spectrum tier (1.0 mg/kg metamaterial on fabric), with antimicrobial protection sustained through 100 industrial wash cycles at 60 °C laundering. This functional unit allows direct comparison against a 1 m² untreated control and against 1 m² of textile treated with the most common incumbent antimicrobial chemistries at their nameplate dose rates.</w:t>
      </w:r>
    </w:p>
    <w:p>
      <w:pPr>
        <w:pStyle w:val="Heading2"/>
        <w:spacing w:after="140" w:before="240"/>
      </w:pPr>
      <w:r>
        <w:rPr>
          <w:rFonts w:ascii="Arial" w:cs="Arial" w:eastAsia="Arial" w:hAnsi="Arial"/>
          <w:b/>
          <w:bCs/>
          <w:color w:val="00B4C3"/>
          <w:sz w:val="26"/>
          <w:szCs w:val="26"/>
        </w:rPr>
        <w:t xml:space="preserve">1.4 System Boundary</w:t>
      </w:r>
    </w:p>
    <w:p>
      <w:pPr>
        <w:spacing w:after="120"/>
      </w:pPr>
      <w:r>
        <w:rPr>
          <w:rFonts w:ascii="Arial" w:cs="Arial" w:eastAsia="Arial" w:hAnsi="Arial"/>
          <w:b w:val="false"/>
          <w:bCs w:val="false"/>
          <w:i w:val="false"/>
          <w:iCs w:val="false"/>
          <w:color w:val="374151"/>
          <w:sz w:val="22"/>
          <w:szCs w:val="22"/>
        </w:rPr>
        <w:t xml:space="preserve">Cradle-to-grave. Five stages are assessed:</w:t>
      </w:r>
    </w:p>
    <w:p>
      <w:pPr>
        <w:pStyle w:val="ListParagraph"/>
        <w:numPr>
          <w:ilvl w:val="0"/>
          <w:numId w:val="2"/>
        </w:numPr>
        <w:spacing w:after="80"/>
      </w:pPr>
      <w:r>
        <w:rPr>
          <w:rFonts w:ascii="Arial" w:cs="Arial" w:eastAsia="Arial" w:hAnsi="Arial"/>
          <w:color w:val="374151"/>
          <w:sz w:val="22"/>
          <w:szCs w:val="22"/>
        </w:rPr>
        <w:t xml:space="preserve">Stage 1 — Production: feedstock sourcing through finished FUZE stock liquid at the FUZE Biotech facility in Salt Lake City.</w:t>
      </w:r>
    </w:p>
    <w:p>
      <w:pPr>
        <w:pStyle w:val="ListParagraph"/>
        <w:numPr>
          <w:ilvl w:val="0"/>
          <w:numId w:val="2"/>
        </w:numPr>
        <w:spacing w:after="80"/>
      </w:pPr>
      <w:r>
        <w:rPr>
          <w:rFonts w:ascii="Arial" w:cs="Arial" w:eastAsia="Arial" w:hAnsi="Arial"/>
          <w:color w:val="374151"/>
          <w:sz w:val="22"/>
          <w:szCs w:val="22"/>
        </w:rPr>
        <w:t xml:space="preserve">Stage 2 — Distribution: from FUZE Direct (SLC) to authorized regional distributors and onward to the textile mill.</w:t>
      </w:r>
    </w:p>
    <w:p>
      <w:pPr>
        <w:pStyle w:val="ListParagraph"/>
        <w:numPr>
          <w:ilvl w:val="0"/>
          <w:numId w:val="2"/>
        </w:numPr>
        <w:spacing w:after="80"/>
      </w:pPr>
      <w:r>
        <w:rPr>
          <w:rFonts w:ascii="Arial" w:cs="Arial" w:eastAsia="Arial" w:hAnsi="Arial"/>
          <w:color w:val="374151"/>
          <w:sz w:val="22"/>
          <w:szCs w:val="22"/>
        </w:rPr>
        <w:t xml:space="preserve">Stage 3 — Application: bath preparation, fabric treatment, drying, and curing at the mill.</w:t>
      </w:r>
    </w:p>
    <w:p>
      <w:pPr>
        <w:pStyle w:val="ListParagraph"/>
        <w:numPr>
          <w:ilvl w:val="0"/>
          <w:numId w:val="2"/>
        </w:numPr>
        <w:spacing w:after="80"/>
      </w:pPr>
      <w:r>
        <w:rPr>
          <w:rFonts w:ascii="Arial" w:cs="Arial" w:eastAsia="Arial" w:hAnsi="Arial"/>
          <w:color w:val="374151"/>
          <w:sz w:val="22"/>
          <w:szCs w:val="22"/>
        </w:rPr>
        <w:t xml:space="preserve">Stage 4 — Use phase: garment construction, retail distribution, consumer use (wear and laundering), through end of useful life.</w:t>
      </w:r>
    </w:p>
    <w:p>
      <w:pPr>
        <w:pStyle w:val="ListParagraph"/>
        <w:numPr>
          <w:ilvl w:val="0"/>
          <w:numId w:val="2"/>
        </w:numPr>
        <w:spacing w:after="80"/>
      </w:pPr>
      <w:r>
        <w:rPr>
          <w:rFonts w:ascii="Arial" w:cs="Arial" w:eastAsia="Arial" w:hAnsi="Arial"/>
          <w:color w:val="374151"/>
          <w:sz w:val="22"/>
          <w:szCs w:val="22"/>
        </w:rPr>
        <w:t xml:space="preserve">Stage 5 — End-of-life: fiber and garment recovery, recycling, incineration, or landfill disposition.</w:t>
      </w:r>
    </w:p>
    <w:p>
      <w:pPr>
        <w:pStyle w:val="Heading2"/>
        <w:spacing w:after="140" w:before="240"/>
      </w:pPr>
      <w:r>
        <w:rPr>
          <w:rFonts w:ascii="Arial" w:cs="Arial" w:eastAsia="Arial" w:hAnsi="Arial"/>
          <w:b/>
          <w:bCs/>
          <w:color w:val="00B4C3"/>
          <w:sz w:val="26"/>
          <w:szCs w:val="26"/>
        </w:rPr>
        <w:t xml:space="preserve">1.5 Allocation</w:t>
      </w:r>
    </w:p>
    <w:p>
      <w:pPr>
        <w:spacing w:after="120"/>
      </w:pPr>
      <w:r>
        <w:rPr>
          <w:rFonts w:ascii="Arial" w:cs="Arial" w:eastAsia="Arial" w:hAnsi="Arial"/>
          <w:b w:val="false"/>
          <w:bCs w:val="false"/>
          <w:i w:val="false"/>
          <w:iCs w:val="false"/>
          <w:color w:val="374151"/>
          <w:sz w:val="22"/>
          <w:szCs w:val="22"/>
        </w:rPr>
        <w:t xml:space="preserve">Where the FUZE production process produces co-products (negligible at current scale), allocation is by mass. Where mill-side application energy is shared with non-FUZE finishing (e.g., a single curing pass that also fixes a dye or a softener), allocation is by the incremental energy attributable to the FUZE-only pass.</w:t>
      </w:r>
    </w:p>
    <w:p>
      <w:pPr>
        <w:pStyle w:val="Heading2"/>
        <w:spacing w:after="140" w:before="240"/>
      </w:pPr>
      <w:r>
        <w:rPr>
          <w:rFonts w:ascii="Arial" w:cs="Arial" w:eastAsia="Arial" w:hAnsi="Arial"/>
          <w:b/>
          <w:bCs/>
          <w:color w:val="00B4C3"/>
          <w:sz w:val="26"/>
          <w:szCs w:val="26"/>
        </w:rPr>
        <w:t xml:space="preserve">1.6 Data Sources</w:t>
      </w:r>
    </w:p>
    <w:p>
      <w:pPr>
        <w:spacing w:after="120"/>
      </w:pPr>
      <w:r>
        <w:rPr>
          <w:rFonts w:ascii="Arial" w:cs="Arial" w:eastAsia="Arial" w:hAnsi="Arial"/>
          <w:b w:val="false"/>
          <w:bCs w:val="false"/>
          <w:i w:val="false"/>
          <w:iCs w:val="false"/>
          <w:color w:val="374151"/>
          <w:sz w:val="22"/>
          <w:szCs w:val="22"/>
        </w:rPr>
        <w:t xml:space="preserve">Primary data: FUZE Biotech process measurements (production energy, water, feedstock yield), AATCC 100 / ISO 20743 / ASTM E2149 third-party test reports across F1–F4 tiers, FUZE Biotech application data from active mill customers across Asia-Pacific, North America, and Europe. Secondary data: USEPA Title 40 CFR Part 152 pesticide registration filings, OEKO-TEX Standard 100 published criteria, published industry data on incumbent antimicrobial chemistries (Silvadur, Polygiene, traditional silver chloride, QACs).</w:t>
      </w:r>
    </w:p>
    <w:p>
      <w:pPr>
        <w:pStyle w:val="Heading2"/>
        <w:spacing w:after="140" w:before="240"/>
      </w:pPr>
      <w:r>
        <w:rPr>
          <w:rFonts w:ascii="Arial" w:cs="Arial" w:eastAsia="Arial" w:hAnsi="Arial"/>
          <w:b/>
          <w:bCs/>
          <w:color w:val="00B4C3"/>
          <w:sz w:val="26"/>
          <w:szCs w:val="26"/>
        </w:rPr>
        <w:t xml:space="preserve">1.7 Limitations</w:t>
      </w:r>
    </w:p>
    <w:p>
      <w:pPr>
        <w:pStyle w:val="ListParagraph"/>
        <w:numPr>
          <w:ilvl w:val="0"/>
          <w:numId w:val="2"/>
        </w:numPr>
        <w:spacing w:after="80"/>
      </w:pPr>
      <w:r>
        <w:rPr>
          <w:rFonts w:ascii="Arial" w:cs="Arial" w:eastAsia="Arial" w:hAnsi="Arial"/>
          <w:color w:val="374151"/>
          <w:sz w:val="22"/>
          <w:szCs w:val="22"/>
        </w:rPr>
        <w:t xml:space="preserve">This is a streamlined LCA, not a third-party-certified peer-reviewed assessment. Where third-party certification is available (OEKO-TEX, bluesign®, EPA), it is referenced directly.</w:t>
      </w:r>
    </w:p>
    <w:p>
      <w:pPr>
        <w:pStyle w:val="ListParagraph"/>
        <w:numPr>
          <w:ilvl w:val="0"/>
          <w:numId w:val="2"/>
        </w:numPr>
        <w:spacing w:after="80"/>
      </w:pPr>
      <w:r>
        <w:rPr>
          <w:rFonts w:ascii="Arial" w:cs="Arial" w:eastAsia="Arial" w:hAnsi="Arial"/>
          <w:color w:val="374151"/>
          <w:sz w:val="22"/>
          <w:szCs w:val="22"/>
        </w:rPr>
        <w:t xml:space="preserve">Use-phase consumer laundering energy is modeled on standard industry assumptions (one wash cycle ≈ 0.5 kWh, 25 L water at 60 °C); regional and equipment variation is significant.</w:t>
      </w:r>
    </w:p>
    <w:p>
      <w:pPr>
        <w:pStyle w:val="ListParagraph"/>
        <w:numPr>
          <w:ilvl w:val="0"/>
          <w:numId w:val="2"/>
        </w:numPr>
        <w:spacing w:after="80"/>
      </w:pPr>
      <w:r>
        <w:rPr>
          <w:rFonts w:ascii="Arial" w:cs="Arial" w:eastAsia="Arial" w:hAnsi="Arial"/>
          <w:color w:val="374151"/>
          <w:sz w:val="22"/>
          <w:szCs w:val="22"/>
        </w:rPr>
        <w:t xml:space="preserve">End-of-life pathways vary by geography; this LCA models the four dominant outcomes (mechanical recycling, chemical recycling, incineration with energy recovery, landfill) without weighting to a specific region.</w:t>
      </w:r>
    </w:p>
    <w:p>
      <w:r>
        <w:br w:type="page"/>
      </w:r>
    </w:p>
    <w:p>
      <w:pPr>
        <w:pStyle w:val="Heading1"/>
        <w:spacing w:after="200" w:before="320"/>
      </w:pPr>
      <w:r>
        <w:rPr>
          <w:rFonts w:ascii="Arial" w:cs="Arial" w:eastAsia="Arial" w:hAnsi="Arial"/>
          <w:b/>
          <w:bCs/>
          <w:color w:val="0A2A33"/>
          <w:sz w:val="32"/>
          <w:szCs w:val="32"/>
        </w:rPr>
        <w:t xml:space="preserve">2. Stage 1 — Production</w:t>
      </w:r>
    </w:p>
    <w:p>
      <w:pPr>
        <w:pStyle w:val="Heading2"/>
        <w:spacing w:after="140" w:before="240"/>
      </w:pPr>
      <w:r>
        <w:rPr>
          <w:rFonts w:ascii="Arial" w:cs="Arial" w:eastAsia="Arial" w:hAnsi="Arial"/>
          <w:b/>
          <w:bCs/>
          <w:color w:val="00B4C3"/>
          <w:sz w:val="26"/>
          <w:szCs w:val="26"/>
        </w:rPr>
        <w:t xml:space="preserve">2.1 Feedstock</w:t>
      </w:r>
    </w:p>
    <w:p>
      <w:pPr>
        <w:spacing w:after="120"/>
      </w:pPr>
      <w:r>
        <w:rPr>
          <w:rFonts w:ascii="Arial" w:cs="Arial" w:eastAsia="Arial" w:hAnsi="Arial"/>
          <w:b w:val="false"/>
          <w:bCs w:val="false"/>
          <w:i w:val="false"/>
          <w:iCs w:val="false"/>
          <w:color w:val="374151"/>
          <w:sz w:val="22"/>
          <w:szCs w:val="22"/>
        </w:rPr>
        <w:t xml:space="preserve">FUZE metamaterial is produced from recycled electronics via a closed-loop feedstock channel. Conductive metal fractions recovered from end-of-life electronics serve as the raw input. This is a fundamental departure from incumbent antimicrobial finishes — which typically source virgin or hydrometallurgically-refined metallic salts — and ties the production phase directly to e-waste recovery economics.</w:t>
      </w:r>
    </w:p>
    <w:p>
      <w:pPr>
        <w:spacing w:after="120"/>
      </w:pPr>
      <w:r>
        <w:rPr>
          <w:rFonts w:ascii="Arial" w:cs="Arial" w:eastAsia="Arial" w:hAnsi="Arial"/>
          <w:b w:val="false"/>
          <w:bCs w:val="false"/>
          <w:i w:val="false"/>
          <w:iCs w:val="false"/>
          <w:color w:val="374151"/>
          <w:sz w:val="22"/>
          <w:szCs w:val="22"/>
        </w:rPr>
        <w:t xml:space="preserve">Net effect: every kilogram of metamaterial produced represents recovered metallic mass that would otherwise enter electronics shredding or landfill streams. This positions FUZE production as a downstream node of the electronics recycling supply chain rather than a virgin-resource consumer.</w:t>
      </w:r>
    </w:p>
    <w:p>
      <w:pPr>
        <w:pStyle w:val="Heading2"/>
        <w:spacing w:after="140" w:before="240"/>
      </w:pPr>
      <w:r>
        <w:rPr>
          <w:rFonts w:ascii="Arial" w:cs="Arial" w:eastAsia="Arial" w:hAnsi="Arial"/>
          <w:b/>
          <w:bCs/>
          <w:color w:val="00B4C3"/>
          <w:sz w:val="26"/>
          <w:szCs w:val="26"/>
        </w:rPr>
        <w:t xml:space="preserve">2.2 Liquid Laser Ablation</w:t>
      </w:r>
    </w:p>
    <w:p>
      <w:pPr>
        <w:spacing w:after="120"/>
      </w:pPr>
      <w:r>
        <w:rPr>
          <w:rFonts w:ascii="Arial" w:cs="Arial" w:eastAsia="Arial" w:hAnsi="Arial"/>
          <w:b w:val="false"/>
          <w:bCs w:val="false"/>
          <w:i w:val="false"/>
          <w:iCs w:val="false"/>
          <w:color w:val="374151"/>
          <w:sz w:val="22"/>
          <w:szCs w:val="22"/>
        </w:rPr>
        <w:t xml:space="preserve">Production uses a 30-amp laser ablation system operating on a 1 m² production table. The recovered metal feedstock is suspended in 99.998% ultrapure 18-megaohm deionized water and ablated to produce the high-density allotrope metamaterial in colloidal stock form at 30 mg/L active concentration. No volatile organic solvents, no acid leaches, no toxic intermediates, no formaldehyde-releasing byproducts.</w:t>
      </w:r>
    </w:p>
    <w:p>
      <w:pPr>
        <w:pStyle w:val="Heading2"/>
        <w:spacing w:after="140" w:before="240"/>
      </w:pPr>
      <w:r>
        <w:rPr>
          <w:rFonts w:ascii="Arial" w:cs="Arial" w:eastAsia="Arial" w:hAnsi="Arial"/>
          <w:b/>
          <w:bCs/>
          <w:color w:val="00B4C3"/>
          <w:sz w:val="26"/>
          <w:szCs w:val="26"/>
        </w:rPr>
        <w:t xml:space="preserve">2.3 Energy Profile</w:t>
      </w:r>
    </w:p>
    <w:p>
      <w:pPr>
        <w:spacing w:after="120"/>
      </w:pPr>
      <w:r>
        <w:rPr>
          <w:rFonts w:ascii="Arial" w:cs="Arial" w:eastAsia="Arial" w:hAnsi="Arial"/>
          <w:b w:val="false"/>
          <w:bCs w:val="false"/>
          <w:i w:val="false"/>
          <w:iCs w:val="false"/>
          <w:color w:val="374151"/>
          <w:sz w:val="22"/>
          <w:szCs w:val="22"/>
        </w:rPr>
        <w:t xml:space="preserve">Total electrical input is dominated by the laser and the DI water purification stage. The 30-amp laser footprint is sized to be fully powered by a single industrial-scale solar PV array (≈ 7–10 kW peak), which is the configuration FUZE Biotech operates in Salt Lake City. At commercial scale this means production energy can be 100% renewable without grid offsets, supporting PVH's renewable-energy commitments through the upstream supply chain.</w:t>
      </w:r>
    </w:p>
    <w:p>
      <w:pPr>
        <w:pStyle w:val="Heading2"/>
        <w:spacing w:after="140" w:before="240"/>
      </w:pPr>
      <w:r>
        <w:rPr>
          <w:rFonts w:ascii="Arial" w:cs="Arial" w:eastAsia="Arial" w:hAnsi="Arial"/>
          <w:b/>
          <w:bCs/>
          <w:color w:val="00B4C3"/>
          <w:sz w:val="26"/>
          <w:szCs w:val="26"/>
        </w:rPr>
        <w:t xml:space="preserve">2.4 Water</w:t>
      </w:r>
    </w:p>
    <w:p>
      <w:pPr>
        <w:spacing w:after="120"/>
      </w:pPr>
      <w:r>
        <w:rPr>
          <w:rFonts w:ascii="Arial" w:cs="Arial" w:eastAsia="Arial" w:hAnsi="Arial"/>
          <w:b w:val="false"/>
          <w:bCs w:val="false"/>
          <w:i w:val="false"/>
          <w:iCs w:val="false"/>
          <w:color w:val="374151"/>
          <w:sz w:val="22"/>
          <w:szCs w:val="22"/>
        </w:rPr>
        <w:t xml:space="preserve">DI water is the sole carrier. Production-phase water consumption is the input to the carrier solution (consumed mass-equivalent to stock output) plus pre-treatment losses during DI generation (typically 1.3–1.5 × carrier output for reverse-osmosis pre-treatment at this purity). No process effluent is generated downstream of the production unit — the carrier is itself the deliverable.</w:t>
      </w:r>
    </w:p>
    <w:p>
      <w:pPr>
        <w:pStyle w:val="Heading2"/>
        <w:spacing w:after="140" w:before="240"/>
      </w:pPr>
      <w:r>
        <w:rPr>
          <w:rFonts w:ascii="Arial" w:cs="Arial" w:eastAsia="Arial" w:hAnsi="Arial"/>
          <w:b/>
          <w:bCs/>
          <w:color w:val="00B4C3"/>
          <w:sz w:val="26"/>
          <w:szCs w:val="26"/>
        </w:rPr>
        <w:t xml:space="preserve">2.5 Waste and Emissions</w:t>
      </w:r>
    </w:p>
    <w:p>
      <w:pPr>
        <w:pStyle w:val="ListParagraph"/>
        <w:numPr>
          <w:ilvl w:val="0"/>
          <w:numId w:val="2"/>
        </w:numPr>
        <w:spacing w:after="80"/>
      </w:pPr>
      <w:r>
        <w:rPr>
          <w:rFonts w:ascii="Arial" w:cs="Arial" w:eastAsia="Arial" w:hAnsi="Arial"/>
          <w:color w:val="374151"/>
          <w:sz w:val="22"/>
          <w:szCs w:val="22"/>
        </w:rPr>
        <w:t xml:space="preserve">Solid waste: residual non-ablated feedstock fragments are returned to the upstream recycler. No FUZE-specific solid waste stream is generated.</w:t>
      </w:r>
    </w:p>
    <w:p>
      <w:pPr>
        <w:pStyle w:val="ListParagraph"/>
        <w:numPr>
          <w:ilvl w:val="0"/>
          <w:numId w:val="2"/>
        </w:numPr>
        <w:spacing w:after="80"/>
      </w:pPr>
      <w:r>
        <w:rPr>
          <w:rFonts w:ascii="Arial" w:cs="Arial" w:eastAsia="Arial" w:hAnsi="Arial"/>
          <w:color w:val="374151"/>
          <w:sz w:val="22"/>
          <w:szCs w:val="22"/>
        </w:rPr>
        <w:t xml:space="preserve">Liquid waste: none in the production phase. DI rejection brine from the RO pre-treatment is industry-standard and is not specific to FUZE.</w:t>
      </w:r>
    </w:p>
    <w:p>
      <w:pPr>
        <w:pStyle w:val="ListParagraph"/>
        <w:numPr>
          <w:ilvl w:val="0"/>
          <w:numId w:val="2"/>
        </w:numPr>
        <w:spacing w:after="80"/>
      </w:pPr>
      <w:r>
        <w:rPr>
          <w:rFonts w:ascii="Arial" w:cs="Arial" w:eastAsia="Arial" w:hAnsi="Arial"/>
          <w:color w:val="374151"/>
          <w:sz w:val="22"/>
          <w:szCs w:val="22"/>
        </w:rPr>
        <w:t xml:space="preserve">Air emissions: none. The laser ablation chamber is sealed; no VOC, SOx, NOx, or particulate emissions are associated with the process.</w:t>
      </w:r>
    </w:p>
    <w:p>
      <w:pPr>
        <w:pStyle w:val="Heading2"/>
        <w:spacing w:after="140" w:before="240"/>
      </w:pPr>
      <w:r>
        <w:rPr>
          <w:rFonts w:ascii="Arial" w:cs="Arial" w:eastAsia="Arial" w:hAnsi="Arial"/>
          <w:b/>
          <w:bCs/>
          <w:color w:val="00B4C3"/>
          <w:sz w:val="26"/>
          <w:szCs w:val="26"/>
        </w:rPr>
        <w:t xml:space="preserve">2.6 Stage 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2D4" w:sz="4"/>
              <w:left w:val="single" w:color="CCD2D4" w:sz="4"/>
              <w:bottom w:val="single" w:color="CCD2D4" w:sz="4"/>
              <w:right w:val="single" w:color="CCD2D4" w:sz="4"/>
            </w:tcBorders>
            <w:shd w:fill="F4F6F7" w:val="clear"/>
            <w:tcMar>
              <w:top w:type="dxa" w:w="200"/>
              <w:left w:type="dxa" w:w="220"/>
              <w:bottom w:type="dxa" w:w="200"/>
              <w:right w:type="dxa" w:w="220"/>
            </w:tcMar>
          </w:tcPr>
          <w:p>
            <w:pPr>
              <w:spacing w:after="80"/>
            </w:pPr>
            <w:r>
              <w:rPr>
                <w:rFonts w:ascii="Arial" w:cs="Arial" w:eastAsia="Arial" w:hAnsi="Arial"/>
                <w:b/>
                <w:bCs/>
                <w:color w:val="00B4C3"/>
                <w:sz w:val="18"/>
                <w:szCs w:val="18"/>
              </w:rPr>
              <w:t xml:space="preserve">PRODUCTION-PHASE FOOTPRINT (per liter of 30 mg/L stock)</w:t>
            </w:r>
          </w:p>
          <w:p>
            <w:pPr>
              <w:spacing w:after="60"/>
            </w:pPr>
            <w:r>
              <w:rPr>
                <w:rFonts w:ascii="Arial" w:cs="Arial" w:eastAsia="Arial" w:hAnsi="Arial"/>
                <w:color w:val="374151"/>
                <w:sz w:val="21"/>
                <w:szCs w:val="21"/>
              </w:rPr>
              <w:t xml:space="preserve">Feedstock: ~30 mg recovered metallic input (from recycled electronics)</w:t>
            </w:r>
          </w:p>
          <w:p>
            <w:pPr>
              <w:spacing w:after="60"/>
            </w:pPr>
            <w:r>
              <w:rPr>
                <w:rFonts w:ascii="Arial" w:cs="Arial" w:eastAsia="Arial" w:hAnsi="Arial"/>
                <w:color w:val="374151"/>
                <w:sz w:val="21"/>
                <w:szCs w:val="21"/>
              </w:rPr>
              <w:t xml:space="preserve">Carrier: 1.0 L of 99.998% ultrapure DI water (≈ 1.4 L raw water pre-RO)</w:t>
            </w:r>
          </w:p>
          <w:p>
            <w:pPr>
              <w:spacing w:after="60"/>
            </w:pPr>
            <w:r>
              <w:rPr>
                <w:rFonts w:ascii="Arial" w:cs="Arial" w:eastAsia="Arial" w:hAnsi="Arial"/>
                <w:color w:val="374151"/>
                <w:sz w:val="21"/>
                <w:szCs w:val="21"/>
              </w:rPr>
              <w:t xml:space="preserve">Energy: solar-capable; ≈ 0.8–1.2 kWh per liter at current ablation throughput</w:t>
            </w:r>
          </w:p>
          <w:p>
            <w:pPr>
              <w:spacing w:after="60"/>
            </w:pPr>
            <w:r>
              <w:rPr>
                <w:rFonts w:ascii="Arial" w:cs="Arial" w:eastAsia="Arial" w:hAnsi="Arial"/>
                <w:color w:val="374151"/>
                <w:sz w:val="21"/>
                <w:szCs w:val="21"/>
              </w:rPr>
              <w:t xml:space="preserve">Process effluent: none</w:t>
            </w:r>
          </w:p>
          <w:p>
            <w:pPr>
              <w:spacing w:after="60"/>
            </w:pPr>
            <w:r>
              <w:rPr>
                <w:rFonts w:ascii="Arial" w:cs="Arial" w:eastAsia="Arial" w:hAnsi="Arial"/>
                <w:color w:val="374151"/>
                <w:sz w:val="21"/>
                <w:szCs w:val="21"/>
              </w:rPr>
              <w:t xml:space="preserve">Volatile emissions: none</w:t>
            </w:r>
          </w:p>
        </w:tc>
      </w:tr>
    </w:tbl>
    <w:p>
      <w:r>
        <w:br w:type="page"/>
      </w:r>
    </w:p>
    <w:p>
      <w:pPr>
        <w:pStyle w:val="Heading1"/>
        <w:spacing w:after="200" w:before="320"/>
      </w:pPr>
      <w:r>
        <w:rPr>
          <w:rFonts w:ascii="Arial" w:cs="Arial" w:eastAsia="Arial" w:hAnsi="Arial"/>
          <w:b/>
          <w:bCs/>
          <w:color w:val="0A2A33"/>
          <w:sz w:val="32"/>
          <w:szCs w:val="32"/>
        </w:rPr>
        <w:t xml:space="preserve">3. Stage 2 — Distribution</w:t>
      </w:r>
    </w:p>
    <w:p>
      <w:pPr>
        <w:pStyle w:val="Heading2"/>
        <w:spacing w:after="140" w:before="240"/>
      </w:pPr>
      <w:r>
        <w:rPr>
          <w:rFonts w:ascii="Arial" w:cs="Arial" w:eastAsia="Arial" w:hAnsi="Arial"/>
          <w:b/>
          <w:bCs/>
          <w:color w:val="00B4C3"/>
          <w:sz w:val="26"/>
          <w:szCs w:val="26"/>
        </w:rPr>
        <w:t xml:space="preserve">3.1 Packaging</w:t>
      </w:r>
    </w:p>
    <w:p>
      <w:pPr>
        <w:spacing w:after="120"/>
      </w:pPr>
      <w:r>
        <w:rPr>
          <w:rFonts w:ascii="Arial" w:cs="Arial" w:eastAsia="Arial" w:hAnsi="Arial"/>
          <w:b w:val="false"/>
          <w:bCs w:val="false"/>
          <w:i w:val="false"/>
          <w:iCs w:val="false"/>
          <w:color w:val="374151"/>
          <w:sz w:val="22"/>
          <w:szCs w:val="22"/>
        </w:rPr>
        <w:t xml:space="preserve">FUZE stock liquid is filled into 19-liter HDPE carboys, which are the textile-industry standard unit for finish chemistry. Carboys are containerized in gaylords of 32 units (608 L per gaylord). Twenty-foot ocean containers hold 10 gaylords (6,080 L); 40-foot containers hold 20 gaylords (12,160 L).</w:t>
      </w:r>
    </w:p>
    <w:p>
      <w:pPr>
        <w:pStyle w:val="Heading2"/>
        <w:spacing w:after="140" w:before="240"/>
      </w:pPr>
      <w:r>
        <w:rPr>
          <w:rFonts w:ascii="Arial" w:cs="Arial" w:eastAsia="Arial" w:hAnsi="Arial"/>
          <w:b/>
          <w:bCs/>
          <w:color w:val="00B4C3"/>
          <w:sz w:val="26"/>
          <w:szCs w:val="26"/>
        </w:rPr>
        <w:t xml:space="preserve">3.2 Freight Profile</w:t>
      </w:r>
    </w:p>
    <w:p>
      <w:pPr>
        <w:spacing w:after="120"/>
      </w:pPr>
      <w:r>
        <w:rPr>
          <w:rFonts w:ascii="Arial" w:cs="Arial" w:eastAsia="Arial" w:hAnsi="Arial"/>
          <w:b w:val="false"/>
          <w:bCs w:val="false"/>
          <w:i w:val="false"/>
          <w:iCs w:val="false"/>
          <w:color w:val="374151"/>
          <w:sz w:val="22"/>
          <w:szCs w:val="22"/>
        </w:rPr>
        <w:t xml:space="preserve">FUZE's distribution profile is essentially identical to incumbent antimicrobial liquid finishes. The carrier (DI water) constitutes &gt;99.997% of the shipped mass at 30 mg/L active concentration. This is a key consideration for the LCA: FUZE's freight footprint per active milligram is comparable to incumbent silver-ion or silver-chloride finishes, which are typically supplied at 1,000–10,000 mg/L active. FUZE moves more carrier per gram of active because the use-phase application rate is dramatically lower (see Stage 3). On a per-square-meter-of-treated-fabric basis, FUZE freight footprint is competitive with — and often lower than — incumbents because the much lower active loading on fabric reduces the per-meter logistics demand.</w:t>
      </w:r>
    </w:p>
    <w:p>
      <w:pPr>
        <w:pStyle w:val="Heading2"/>
        <w:spacing w:after="140" w:before="240"/>
      </w:pPr>
      <w:r>
        <w:rPr>
          <w:rFonts w:ascii="Arial" w:cs="Arial" w:eastAsia="Arial" w:hAnsi="Arial"/>
          <w:b/>
          <w:bCs/>
          <w:color w:val="00B4C3"/>
          <w:sz w:val="26"/>
          <w:szCs w:val="26"/>
        </w:rPr>
        <w:t xml:space="preserve">3.3 Regional Network</w:t>
      </w:r>
    </w:p>
    <w:p>
      <w:pPr>
        <w:spacing w:after="120"/>
      </w:pPr>
      <w:r>
        <w:rPr>
          <w:rFonts w:ascii="Arial" w:cs="Arial" w:eastAsia="Arial" w:hAnsi="Arial"/>
          <w:b w:val="false"/>
          <w:bCs w:val="false"/>
          <w:i w:val="false"/>
          <w:iCs w:val="false"/>
          <w:color w:val="374151"/>
          <w:sz w:val="22"/>
          <w:szCs w:val="22"/>
        </w:rPr>
        <w:t xml:space="preserve">FUZE is delivered through an authorized distributor network across North America (FUZE Direct, USA), Asia-Pacific (multiple distributors covering China, Vietnam, Bangladesh, Indonesia, India, Pakistan, Sri Lanka), Europe (Turkey, Portugal, Italy), and Central America (Honduras, Guatemala, El Salvador). Factory purchase is routed through the nearest regional distributor to minimize ocean and air freight.</w:t>
      </w:r>
    </w:p>
    <w:p>
      <w:pPr>
        <w:pStyle w:val="Heading2"/>
        <w:spacing w:after="140" w:before="240"/>
      </w:pPr>
      <w:r>
        <w:rPr>
          <w:rFonts w:ascii="Arial" w:cs="Arial" w:eastAsia="Arial" w:hAnsi="Arial"/>
          <w:b/>
          <w:bCs/>
          <w:color w:val="00B4C3"/>
          <w:sz w:val="26"/>
          <w:szCs w:val="26"/>
        </w:rPr>
        <w:t xml:space="preserve">3.4 Shelf Life</w:t>
      </w:r>
    </w:p>
    <w:p>
      <w:pPr>
        <w:spacing w:after="120"/>
      </w:pPr>
      <w:r>
        <w:rPr>
          <w:rFonts w:ascii="Arial" w:cs="Arial" w:eastAsia="Arial" w:hAnsi="Arial"/>
          <w:b w:val="false"/>
          <w:bCs w:val="false"/>
          <w:i w:val="false"/>
          <w:iCs w:val="false"/>
          <w:color w:val="374151"/>
          <w:sz w:val="22"/>
          <w:szCs w:val="22"/>
        </w:rPr>
        <w:t xml:space="preserve">FUZE stock liquid does not expire under recommended storage conditions (cool, dry, away from direct sunlight). Distributors and mills can maintain stock indefinitely, eliminating the spoilage-driven repurchase cycles that characterize some incumbent biocidal chemistries (especially aqueous QACs and dilute hypochlorite-based pre-treatments).</w:t>
      </w:r>
    </w:p>
    <w:p>
      <w:r>
        <w:br w:type="page"/>
      </w:r>
    </w:p>
    <w:p>
      <w:pPr>
        <w:pStyle w:val="Heading1"/>
        <w:spacing w:after="200" w:before="320"/>
      </w:pPr>
      <w:r>
        <w:rPr>
          <w:rFonts w:ascii="Arial" w:cs="Arial" w:eastAsia="Arial" w:hAnsi="Arial"/>
          <w:b/>
          <w:bCs/>
          <w:color w:val="0A2A33"/>
          <w:sz w:val="32"/>
          <w:szCs w:val="32"/>
        </w:rPr>
        <w:t xml:space="preserve">4. Stage 3 — Application at the Mill</w:t>
      </w:r>
    </w:p>
    <w:p>
      <w:pPr>
        <w:pStyle w:val="Heading2"/>
        <w:spacing w:after="140" w:before="240"/>
      </w:pPr>
      <w:r>
        <w:rPr>
          <w:rFonts w:ascii="Arial" w:cs="Arial" w:eastAsia="Arial" w:hAnsi="Arial"/>
          <w:b/>
          <w:bCs/>
          <w:color w:val="00B4C3"/>
          <w:sz w:val="26"/>
          <w:szCs w:val="26"/>
        </w:rPr>
        <w:t xml:space="preserve">4.1 Application Methods</w:t>
      </w:r>
    </w:p>
    <w:p>
      <w:pPr>
        <w:spacing w:after="120"/>
      </w:pPr>
      <w:r>
        <w:rPr>
          <w:rFonts w:ascii="Arial" w:cs="Arial" w:eastAsia="Arial" w:hAnsi="Arial"/>
          <w:b w:val="false"/>
          <w:bCs w:val="false"/>
          <w:i w:val="false"/>
          <w:iCs w:val="false"/>
          <w:color w:val="374151"/>
          <w:sz w:val="22"/>
          <w:szCs w:val="22"/>
        </w:rPr>
        <w:t xml:space="preserve">FUZE applies via three methods, all using equipment that is already standard in textile finishing mills. No capital investment in new application infrastructure is required.</w:t>
      </w:r>
    </w:p>
    <w:p>
      <w:pPr>
        <w:pStyle w:val="ListParagraph"/>
        <w:numPr>
          <w:ilvl w:val="0"/>
          <w:numId w:val="2"/>
        </w:numPr>
        <w:spacing w:after="80"/>
      </w:pPr>
      <w:r>
        <w:rPr>
          <w:rFonts w:ascii="Arial" w:cs="Arial" w:eastAsia="Arial" w:hAnsi="Arial"/>
          <w:color w:val="374151"/>
          <w:sz w:val="22"/>
          <w:szCs w:val="22"/>
        </w:rPr>
        <w:t xml:space="preserve">Exhaust bath: fabric is immersed in a diluted FUZE bath in a standard jet, jig, beam, or atmospheric dyeing machine. Used at end of a dyeing or scouring cycle. Bath ratio and exhaustion are calculated to deliver the target tier dose.</w:t>
      </w:r>
    </w:p>
    <w:p>
      <w:pPr>
        <w:pStyle w:val="ListParagraph"/>
        <w:numPr>
          <w:ilvl w:val="0"/>
          <w:numId w:val="2"/>
        </w:numPr>
        <w:spacing w:after="80"/>
      </w:pPr>
      <w:r>
        <w:rPr>
          <w:rFonts w:ascii="Arial" w:cs="Arial" w:eastAsia="Arial" w:hAnsi="Arial"/>
          <w:color w:val="374151"/>
          <w:sz w:val="22"/>
          <w:szCs w:val="22"/>
        </w:rPr>
        <w:t xml:space="preserve">Pad-dry-cure: fabric passes continuously through a padder containing a FUZE-dosed bath, is squeezed to a known pickup percentage, dried, and cured. Standard industry method; the same line that fixes a dye or a softener fixes FUZE.</w:t>
      </w:r>
    </w:p>
    <w:p>
      <w:pPr>
        <w:pStyle w:val="ListParagraph"/>
        <w:numPr>
          <w:ilvl w:val="0"/>
          <w:numId w:val="2"/>
        </w:numPr>
        <w:spacing w:after="80"/>
      </w:pPr>
      <w:r>
        <w:rPr>
          <w:rFonts w:ascii="Arial" w:cs="Arial" w:eastAsia="Arial" w:hAnsi="Arial"/>
          <w:color w:val="374151"/>
          <w:sz w:val="22"/>
          <w:szCs w:val="22"/>
        </w:rPr>
        <w:t xml:space="preserve">Spray: fabric passes under a calibrated spray bar (typically 6-inch head spacing, 15 m/min line speed) for substrates where pad immersion is impractical. Used in nonwoven and composite manufacturing.</w:t>
      </w:r>
    </w:p>
    <w:p>
      <w:pPr>
        <w:pStyle w:val="Heading2"/>
        <w:spacing w:after="140" w:before="240"/>
      </w:pPr>
      <w:r>
        <w:rPr>
          <w:rFonts w:ascii="Arial" w:cs="Arial" w:eastAsia="Arial" w:hAnsi="Arial"/>
          <w:b/>
          <w:bCs/>
          <w:color w:val="00B4C3"/>
          <w:sz w:val="26"/>
          <w:szCs w:val="26"/>
        </w:rPr>
        <w:t xml:space="preserve">4.2 Curing</w:t>
      </w:r>
    </w:p>
    <w:p>
      <w:pPr>
        <w:spacing w:after="120"/>
      </w:pPr>
      <w:r>
        <w:rPr>
          <w:rFonts w:ascii="Arial" w:cs="Arial" w:eastAsia="Arial" w:hAnsi="Arial"/>
          <w:b w:val="false"/>
          <w:bCs w:val="false"/>
          <w:i w:val="false"/>
          <w:iCs w:val="false"/>
          <w:color w:val="374151"/>
          <w:sz w:val="22"/>
          <w:szCs w:val="22"/>
        </w:rPr>
        <w:t xml:space="preserve">Cure temperature 150–170 °C for 2–3 minutes is identical to the cure window already used by the mill for dye fixation, softener fixation, and most other reactive textile finishes. No additional curing oven energy is required when FUZE is co-applied with another finish in the same line pass. When run as a standalone cure pass, incremental energy is approximately 0.05–0.10 kWh per square meter at typical line speeds.</w:t>
      </w:r>
    </w:p>
    <w:p>
      <w:pPr>
        <w:pStyle w:val="Heading2"/>
        <w:spacing w:after="140" w:before="240"/>
      </w:pPr>
      <w:r>
        <w:rPr>
          <w:rFonts w:ascii="Arial" w:cs="Arial" w:eastAsia="Arial" w:hAnsi="Arial"/>
          <w:b/>
          <w:bCs/>
          <w:color w:val="00B4C3"/>
          <w:sz w:val="26"/>
          <w:szCs w:val="26"/>
        </w:rPr>
        <w:t xml:space="preserve">4.3 Bath Concentration and Dose Math</w:t>
      </w:r>
    </w:p>
    <w:p>
      <w:pPr>
        <w:spacing w:after="120"/>
      </w:pPr>
      <w:r>
        <w:rPr>
          <w:rFonts w:ascii="Arial" w:cs="Arial" w:eastAsia="Arial" w:hAnsi="Arial"/>
          <w:b w:val="false"/>
          <w:bCs w:val="false"/>
          <w:i w:val="false"/>
          <w:iCs w:val="false"/>
          <w:color w:val="374151"/>
          <w:sz w:val="22"/>
          <w:szCs w:val="22"/>
        </w:rPr>
        <w:t xml:space="preserve">At F1 Full Spectrum tier (1.0 mg/kg fabric target) with 70% wet pickup on a 200 g/m² knit, the bath concentration delivered to the fabric is 1.43 mg/L. Bath stock concentration is approximately 4.76% by volume of 30 mg/L FUZE stock in DI water. Higher tiers (F2 / F3 / F4) scale proportionally downward to 0.75 / 0.5 / 0.25 mg/kg respectively. These rates are 50–500× lower than incumbent silver-chloride and quaternary ammonium finishes on a per-kilogram-of-fabric basis.</w:t>
      </w:r>
    </w:p>
    <w:p>
      <w:pPr>
        <w:pStyle w:val="Heading2"/>
        <w:spacing w:after="140" w:before="240"/>
      </w:pPr>
      <w:r>
        <w:rPr>
          <w:rFonts w:ascii="Arial" w:cs="Arial" w:eastAsia="Arial" w:hAnsi="Arial"/>
          <w:b/>
          <w:bCs/>
          <w:color w:val="00B4C3"/>
          <w:sz w:val="26"/>
          <w:szCs w:val="26"/>
        </w:rPr>
        <w:t xml:space="preserve">4.4 Wastewater</w:t>
      </w:r>
    </w:p>
    <w:p>
      <w:pPr>
        <w:spacing w:after="120"/>
      </w:pPr>
      <w:r>
        <w:rPr>
          <w:rFonts w:ascii="Arial" w:cs="Arial" w:eastAsia="Arial" w:hAnsi="Arial"/>
          <w:b w:val="false"/>
          <w:bCs w:val="false"/>
          <w:i w:val="false"/>
          <w:iCs w:val="false"/>
          <w:color w:val="374151"/>
          <w:sz w:val="22"/>
          <w:szCs w:val="22"/>
        </w:rPr>
        <w:t xml:space="preserve">FUZE wastewater impact is materially lower than incumbent antimicrobial chemistries by two mechanisms:</w:t>
      </w:r>
    </w:p>
    <w:p>
      <w:pPr>
        <w:pStyle w:val="ListParagraph"/>
        <w:numPr>
          <w:ilvl w:val="0"/>
          <w:numId w:val="2"/>
        </w:numPr>
        <w:spacing w:after="80"/>
      </w:pPr>
      <w:r>
        <w:rPr>
          <w:rFonts w:ascii="Arial" w:cs="Arial" w:eastAsia="Arial" w:hAnsi="Arial"/>
          <w:color w:val="374151"/>
          <w:sz w:val="22"/>
          <w:szCs w:val="22"/>
        </w:rPr>
        <w:t xml:space="preserve">Lower bath loading: at F1, total active in the bath is approximately 0.04–0.10% on weight of bath. Incumbent silver-chloride and QAC chemistries typically run 0.5–3% OWB.</w:t>
      </w:r>
    </w:p>
    <w:p>
      <w:pPr>
        <w:pStyle w:val="ListParagraph"/>
        <w:numPr>
          <w:ilvl w:val="0"/>
          <w:numId w:val="2"/>
        </w:numPr>
        <w:spacing w:after="80"/>
      </w:pPr>
      <w:r>
        <w:rPr>
          <w:rFonts w:ascii="Arial" w:cs="Arial" w:eastAsia="Arial" w:hAnsi="Arial"/>
          <w:color w:val="374151"/>
          <w:sz w:val="22"/>
          <w:szCs w:val="22"/>
        </w:rPr>
        <w:t xml:space="preserve">Non-leaching mechanism: the metamaterial bonds to the fiber surface during cure and does not desorb during subsequent rinse cycles. Bath exhaustion is high (typically &gt;85%); residual bath after exhaust is dilute and well below regulatory wastewater thresholds for trace metallics in textile-finishing effluent.</w:t>
      </w:r>
    </w:p>
    <w:p>
      <w:pPr>
        <w:pStyle w:val="Heading2"/>
        <w:spacing w:after="140" w:before="240"/>
      </w:pPr>
      <w:r>
        <w:rPr>
          <w:rFonts w:ascii="Arial" w:cs="Arial" w:eastAsia="Arial" w:hAnsi="Arial"/>
          <w:b/>
          <w:bCs/>
          <w:color w:val="00B4C3"/>
          <w:sz w:val="26"/>
          <w:szCs w:val="26"/>
        </w:rPr>
        <w:t xml:space="preserve">4.5 Chemistry — What FUZE Does NOT 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2D4" w:sz="4"/>
              <w:left w:val="single" w:color="CCD2D4" w:sz="4"/>
              <w:bottom w:val="single" w:color="CCD2D4" w:sz="4"/>
              <w:right w:val="single" w:color="CCD2D4" w:sz="4"/>
            </w:tcBorders>
            <w:shd w:fill="F4F6F7" w:val="clear"/>
            <w:tcMar>
              <w:top w:type="dxa" w:w="200"/>
              <w:left w:type="dxa" w:w="220"/>
              <w:bottom w:type="dxa" w:w="200"/>
              <w:right w:type="dxa" w:w="220"/>
            </w:tcMar>
          </w:tcPr>
          <w:p>
            <w:pPr>
              <w:spacing w:after="80"/>
            </w:pPr>
            <w:r>
              <w:rPr>
                <w:rFonts w:ascii="Arial" w:cs="Arial" w:eastAsia="Arial" w:hAnsi="Arial"/>
                <w:b/>
                <w:bCs/>
                <w:color w:val="00B4C3"/>
                <w:sz w:val="18"/>
                <w:szCs w:val="18"/>
              </w:rPr>
              <w:t xml:space="preserve">NOT REQUIRED FOR FUZE APPLICATION</w:t>
            </w:r>
          </w:p>
          <w:p>
            <w:pPr>
              <w:spacing w:after="60"/>
            </w:pPr>
            <w:r>
              <w:rPr>
                <w:rFonts w:ascii="Arial" w:cs="Arial" w:eastAsia="Arial" w:hAnsi="Arial"/>
                <w:color w:val="374151"/>
                <w:sz w:val="21"/>
                <w:szCs w:val="21"/>
              </w:rPr>
              <w:t xml:space="preserve">Formaldehyde-releasing crosslinkers (DMDHEU or similar) — required by some silver-ion finishes for substantivity</w:t>
            </w:r>
          </w:p>
          <w:p>
            <w:pPr>
              <w:spacing w:after="60"/>
            </w:pPr>
            <w:r>
              <w:rPr>
                <w:rFonts w:ascii="Arial" w:cs="Arial" w:eastAsia="Arial" w:hAnsi="Arial"/>
                <w:color w:val="374151"/>
                <w:sz w:val="21"/>
                <w:szCs w:val="21"/>
              </w:rPr>
              <w:t xml:space="preserve">PFAS or fluorinated chemistry — FUZE is PFAS-free</w:t>
            </w:r>
          </w:p>
          <w:p>
            <w:pPr>
              <w:spacing w:after="60"/>
            </w:pPr>
            <w:r>
              <w:rPr>
                <w:rFonts w:ascii="Arial" w:cs="Arial" w:eastAsia="Arial" w:hAnsi="Arial"/>
                <w:color w:val="374151"/>
                <w:sz w:val="21"/>
                <w:szCs w:val="21"/>
              </w:rPr>
              <w:t xml:space="preserve">Cationic binders or polymeric resin carriers — not required for metamaterial fixation</w:t>
            </w:r>
          </w:p>
          <w:p>
            <w:pPr>
              <w:spacing w:after="60"/>
            </w:pPr>
            <w:r>
              <w:rPr>
                <w:rFonts w:ascii="Arial" w:cs="Arial" w:eastAsia="Arial" w:hAnsi="Arial"/>
                <w:color w:val="374151"/>
                <w:sz w:val="21"/>
                <w:szCs w:val="21"/>
              </w:rPr>
              <w:t xml:space="preserve">Acid pH adjusters or post-treatment neutralization — bath is run at near-neutral pH</w:t>
            </w:r>
          </w:p>
          <w:p>
            <w:pPr>
              <w:spacing w:after="60"/>
            </w:pPr>
            <w:r>
              <w:rPr>
                <w:rFonts w:ascii="Arial" w:cs="Arial" w:eastAsia="Arial" w:hAnsi="Arial"/>
                <w:color w:val="374151"/>
                <w:sz w:val="21"/>
                <w:szCs w:val="21"/>
              </w:rPr>
              <w:t xml:space="preserve">Heavy-metal mordants — feedstock is the metamaterial itself, no auxiliary metal salts</w:t>
            </w:r>
          </w:p>
        </w:tc>
      </w:tr>
    </w:tbl>
    <w:p>
      <w:pPr>
        <w:pStyle w:val="Heading2"/>
        <w:spacing w:after="140" w:before="240"/>
      </w:pPr>
      <w:r>
        <w:rPr>
          <w:rFonts w:ascii="Arial" w:cs="Arial" w:eastAsia="Arial" w:hAnsi="Arial"/>
          <w:b/>
          <w:bCs/>
          <w:color w:val="00B4C3"/>
          <w:sz w:val="26"/>
          <w:szCs w:val="26"/>
        </w:rPr>
        <w:t xml:space="preserve">4.6 Worker Safety</w:t>
      </w:r>
    </w:p>
    <w:p>
      <w:pPr>
        <w:spacing w:after="120"/>
      </w:pPr>
      <w:r>
        <w:rPr>
          <w:rFonts w:ascii="Arial" w:cs="Arial" w:eastAsia="Arial" w:hAnsi="Arial"/>
          <w:b w:val="false"/>
          <w:bCs w:val="false"/>
          <w:i w:val="false"/>
          <w:iCs w:val="false"/>
          <w:color w:val="374151"/>
          <w:sz w:val="22"/>
          <w:szCs w:val="22"/>
        </w:rPr>
        <w:t xml:space="preserve">FUZE is OEKO-TEX Standard 100 Class I certified (safe for infant articles), bluesign® approved, and EPA federally registered. The 30 mg/L stock liquid is non-hazardous under GHS classification. Dermal and inhalation toxicology testing is on file. No PPE beyond standard mill chemical handling is required for routine bath preparation.</w:t>
      </w:r>
    </w:p>
    <w:p>
      <w:r>
        <w:br w:type="page"/>
      </w:r>
    </w:p>
    <w:p>
      <w:pPr>
        <w:pStyle w:val="Heading1"/>
        <w:spacing w:after="200" w:before="320"/>
      </w:pPr>
      <w:r>
        <w:rPr>
          <w:rFonts w:ascii="Arial" w:cs="Arial" w:eastAsia="Arial" w:hAnsi="Arial"/>
          <w:b/>
          <w:bCs/>
          <w:color w:val="0A2A33"/>
          <w:sz w:val="32"/>
          <w:szCs w:val="32"/>
        </w:rPr>
        <w:t xml:space="preserve">5. Stage 4 — Use Phase</w:t>
      </w:r>
    </w:p>
    <w:p>
      <w:pPr>
        <w:pStyle w:val="Heading2"/>
        <w:spacing w:after="140" w:before="240"/>
      </w:pPr>
      <w:r>
        <w:rPr>
          <w:rFonts w:ascii="Arial" w:cs="Arial" w:eastAsia="Arial" w:hAnsi="Arial"/>
          <w:b/>
          <w:bCs/>
          <w:color w:val="00B4C3"/>
          <w:sz w:val="26"/>
          <w:szCs w:val="26"/>
        </w:rPr>
        <w:t xml:space="preserve">5.1 Durability</w:t>
      </w:r>
    </w:p>
    <w:p>
      <w:pPr>
        <w:spacing w:after="120"/>
      </w:pPr>
      <w:r>
        <w:rPr>
          <w:rFonts w:ascii="Arial" w:cs="Arial" w:eastAsia="Arial" w:hAnsi="Arial"/>
          <w:b w:val="false"/>
          <w:bCs w:val="false"/>
          <w:i w:val="false"/>
          <w:iCs w:val="false"/>
          <w:color w:val="374151"/>
          <w:sz w:val="22"/>
          <w:szCs w:val="22"/>
        </w:rPr>
        <w:t xml:space="preserve">FUZE is engineered for use-phase durability across four tiers. Wash durability is documented through internal AATCC 100 / ISO 20743 testing at the specified wash counts and is shared with brand partners on request as third-party-validated test reports. The tier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000"/>
        <w:gridCol w:w="3660"/>
      </w:tblGrid>
      <w:tr>
        <w:trPr>
          <w:tblHeader/>
        </w:trPr>
        <w:tc>
          <w:tcPr>
            <w:tcW w:type="dxa" w:w="1700"/>
            <w:tcBorders>
              <w:top w:val="single" w:color="CCD2D4" w:sz="4"/>
              <w:left w:val="single" w:color="CCD2D4" w:sz="4"/>
              <w:bottom w:val="single" w:color="CCD2D4" w:sz="4"/>
              <w:right w:val="single" w:color="CCD2D4" w:sz="4"/>
            </w:tcBorders>
            <w:shd w:fill="0A2A33" w:val="clear"/>
            <w:tcMar>
              <w:top w:type="dxa" w:w="100"/>
              <w:left w:type="dxa" w:w="140"/>
              <w:bottom w:type="dxa" w:w="100"/>
              <w:right w:type="dxa" w:w="140"/>
            </w:tcMar>
          </w:tcPr>
          <w:p>
            <w:r>
              <w:rPr>
                <w:rFonts w:ascii="Arial" w:cs="Arial" w:eastAsia="Arial" w:hAnsi="Arial"/>
                <w:b/>
                <w:bCs/>
                <w:color w:val="FFFFFF"/>
                <w:sz w:val="19"/>
                <w:szCs w:val="19"/>
              </w:rPr>
              <w:t xml:space="preserve">Tier</w:t>
            </w:r>
          </w:p>
        </w:tc>
        <w:tc>
          <w:tcPr>
            <w:tcW w:type="dxa" w:w="2000"/>
            <w:tcBorders>
              <w:top w:val="single" w:color="CCD2D4" w:sz="4"/>
              <w:left w:val="single" w:color="CCD2D4" w:sz="4"/>
              <w:bottom w:val="single" w:color="CCD2D4" w:sz="4"/>
              <w:right w:val="single" w:color="CCD2D4" w:sz="4"/>
            </w:tcBorders>
            <w:shd w:fill="0A2A33" w:val="clear"/>
            <w:tcMar>
              <w:top w:type="dxa" w:w="100"/>
              <w:left w:type="dxa" w:w="140"/>
              <w:bottom w:type="dxa" w:w="100"/>
              <w:right w:type="dxa" w:w="140"/>
            </w:tcMar>
          </w:tcPr>
          <w:p>
            <w:r>
              <w:rPr>
                <w:rFonts w:ascii="Arial" w:cs="Arial" w:eastAsia="Arial" w:hAnsi="Arial"/>
                <w:b/>
                <w:bCs/>
                <w:color w:val="FFFFFF"/>
                <w:sz w:val="19"/>
                <w:szCs w:val="19"/>
              </w:rPr>
              <w:t xml:space="preserve">On-fabric dose (mg/kg)</w:t>
            </w:r>
          </w:p>
        </w:tc>
        <w:tc>
          <w:tcPr>
            <w:tcW w:type="dxa" w:w="2000"/>
            <w:tcBorders>
              <w:top w:val="single" w:color="CCD2D4" w:sz="4"/>
              <w:left w:val="single" w:color="CCD2D4" w:sz="4"/>
              <w:bottom w:val="single" w:color="CCD2D4" w:sz="4"/>
              <w:right w:val="single" w:color="CCD2D4" w:sz="4"/>
            </w:tcBorders>
            <w:shd w:fill="0A2A33" w:val="clear"/>
            <w:tcMar>
              <w:top w:type="dxa" w:w="100"/>
              <w:left w:type="dxa" w:w="140"/>
              <w:bottom w:type="dxa" w:w="100"/>
              <w:right w:type="dxa" w:w="140"/>
            </w:tcMar>
          </w:tcPr>
          <w:p>
            <w:r>
              <w:rPr>
                <w:rFonts w:ascii="Arial" w:cs="Arial" w:eastAsia="Arial" w:hAnsi="Arial"/>
                <w:b/>
                <w:bCs/>
                <w:color w:val="FFFFFF"/>
                <w:sz w:val="19"/>
                <w:szCs w:val="19"/>
              </w:rPr>
              <w:t xml:space="preserve">Wash durability</w:t>
            </w:r>
          </w:p>
        </w:tc>
        <w:tc>
          <w:tcPr>
            <w:tcW w:type="dxa" w:w="3660"/>
            <w:tcBorders>
              <w:top w:val="single" w:color="CCD2D4" w:sz="4"/>
              <w:left w:val="single" w:color="CCD2D4" w:sz="4"/>
              <w:bottom w:val="single" w:color="CCD2D4" w:sz="4"/>
              <w:right w:val="single" w:color="CCD2D4" w:sz="4"/>
            </w:tcBorders>
            <w:shd w:fill="0A2A33" w:val="clear"/>
            <w:tcMar>
              <w:top w:type="dxa" w:w="100"/>
              <w:left w:type="dxa" w:w="140"/>
              <w:bottom w:type="dxa" w:w="100"/>
              <w:right w:type="dxa" w:w="140"/>
            </w:tcMar>
          </w:tcPr>
          <w:p>
            <w:r>
              <w:rPr>
                <w:rFonts w:ascii="Arial" w:cs="Arial" w:eastAsia="Arial" w:hAnsi="Arial"/>
                <w:b/>
                <w:bCs/>
                <w:color w:val="FFFFFF"/>
                <w:sz w:val="19"/>
                <w:szCs w:val="19"/>
              </w:rPr>
              <w:t xml:space="preserve">Typical product application</w:t>
            </w:r>
          </w:p>
        </w:tc>
      </w:tr>
      <w:tr>
        <w:tc>
          <w:tcPr>
            <w:tcW w:type="dxa" w:w="170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F1 Full Spectrum</w:t>
            </w:r>
          </w:p>
        </w:tc>
        <w:tc>
          <w:tcPr>
            <w:tcW w:type="dxa" w:w="200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1.0</w:t>
            </w:r>
          </w:p>
        </w:tc>
        <w:tc>
          <w:tcPr>
            <w:tcW w:type="dxa" w:w="200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100 cycles</w:t>
            </w:r>
          </w:p>
        </w:tc>
        <w:tc>
          <w:tcPr>
            <w:tcW w:type="dxa" w:w="366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Healthcare linens, athletic next-to-skin, high-performance activewear</w:t>
            </w:r>
          </w:p>
        </w:tc>
      </w:tr>
      <w:tr>
        <w:tc>
          <w:tcPr>
            <w:tcW w:type="dxa" w:w="170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F2 Advanced</w:t>
            </w:r>
          </w:p>
        </w:tc>
        <w:tc>
          <w:tcPr>
            <w:tcW w:type="dxa" w:w="200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0.75</w:t>
            </w:r>
          </w:p>
        </w:tc>
        <w:tc>
          <w:tcPr>
            <w:tcW w:type="dxa" w:w="200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75 cycles</w:t>
            </w:r>
          </w:p>
        </w:tc>
        <w:tc>
          <w:tcPr>
            <w:tcW w:type="dxa" w:w="366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Workwear, uniforms, hospitality linens, durable consumer goods</w:t>
            </w:r>
          </w:p>
        </w:tc>
      </w:tr>
      <w:tr>
        <w:tc>
          <w:tcPr>
            <w:tcW w:type="dxa" w:w="170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F3 Core</w:t>
            </w:r>
          </w:p>
        </w:tc>
        <w:tc>
          <w:tcPr>
            <w:tcW w:type="dxa" w:w="200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0.5</w:t>
            </w:r>
          </w:p>
        </w:tc>
        <w:tc>
          <w:tcPr>
            <w:tcW w:type="dxa" w:w="200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50 cycles</w:t>
            </w:r>
          </w:p>
        </w:tc>
        <w:tc>
          <w:tcPr>
            <w:tcW w:type="dxa" w:w="366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Everyday apparel, bedding, home textiles</w:t>
            </w:r>
          </w:p>
        </w:tc>
      </w:tr>
      <w:tr>
        <w:tc>
          <w:tcPr>
            <w:tcW w:type="dxa" w:w="170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F4 Foundation</w:t>
            </w:r>
          </w:p>
        </w:tc>
        <w:tc>
          <w:tcPr>
            <w:tcW w:type="dxa" w:w="200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0.25</w:t>
            </w:r>
          </w:p>
        </w:tc>
        <w:tc>
          <w:tcPr>
            <w:tcW w:type="dxa" w:w="200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25 cycles</w:t>
            </w:r>
          </w:p>
        </w:tc>
        <w:tc>
          <w:tcPr>
            <w:tcW w:type="dxa" w:w="366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Seasonal or limited-use products requiring baseline antimicrobial protection</w:t>
            </w:r>
          </w:p>
        </w:tc>
      </w:tr>
    </w:tbl>
    <w:p>
      <w:pPr>
        <w:spacing w:after="120"/>
      </w:pPr>
    </w:p>
    <w:p>
      <w:pPr>
        <w:pStyle w:val="Heading2"/>
        <w:spacing w:after="140" w:before="240"/>
      </w:pPr>
      <w:r>
        <w:rPr>
          <w:rFonts w:ascii="Arial" w:cs="Arial" w:eastAsia="Arial" w:hAnsi="Arial"/>
          <w:b/>
          <w:bCs/>
          <w:color w:val="00B4C3"/>
          <w:sz w:val="26"/>
          <w:szCs w:val="26"/>
        </w:rPr>
        <w:t xml:space="preserve">5.2 Mechanism — Why Durability Holds</w:t>
      </w:r>
    </w:p>
    <w:p>
      <w:pPr>
        <w:spacing w:after="120"/>
      </w:pPr>
      <w:r>
        <w:rPr>
          <w:rFonts w:ascii="Arial" w:cs="Arial" w:eastAsia="Arial" w:hAnsi="Arial"/>
          <w:b w:val="false"/>
          <w:bCs w:val="false"/>
          <w:i w:val="false"/>
          <w:iCs w:val="false"/>
          <w:color w:val="374151"/>
          <w:sz w:val="22"/>
          <w:szCs w:val="22"/>
        </w:rPr>
        <w:t xml:space="preserve">FUZE's antimicrobial mechanism is contact-kill: bacteria and other microorganisms are physically dismantled when they touch the metamaterial-bonded fiber surface. Unlike leaching antimicrobials (silver-ion finishes, silver chloride, QACs), the metamaterial does not deplete itself by releasing ions into the wash water — the active agent stays on the fiber across wash cycles. Wash-test results across F1 at 100 cycles, F2 at 75 cycles, F3 at 50 cycles, and F4 at 25 cycles consistently sustain greater than 99% reduction against gram-positive (S. aureus, MRSA) and gram-negative (E. coli, K. pneumoniae) bacterial challenges under AATCC 100 protocols and stronger results under the ASTM E2149 dynamic-contact protocol.</w:t>
      </w:r>
    </w:p>
    <w:p>
      <w:pPr>
        <w:pStyle w:val="Heading2"/>
        <w:spacing w:after="140" w:before="240"/>
      </w:pPr>
      <w:r>
        <w:rPr>
          <w:rFonts w:ascii="Arial" w:cs="Arial" w:eastAsia="Arial" w:hAnsi="Arial"/>
          <w:b/>
          <w:bCs/>
          <w:color w:val="00B4C3"/>
          <w:sz w:val="26"/>
          <w:szCs w:val="26"/>
        </w:rPr>
        <w:t xml:space="preserve">5.3 Test Methodology — A Note on AATCC 100 vs ASTM E2149</w:t>
      </w:r>
    </w:p>
    <w:p>
      <w:pPr>
        <w:spacing w:after="120"/>
      </w:pPr>
      <w:r>
        <w:rPr>
          <w:rFonts w:ascii="Arial" w:cs="Arial" w:eastAsia="Arial" w:hAnsi="Arial"/>
          <w:b w:val="false"/>
          <w:bCs w:val="false"/>
          <w:i w:val="false"/>
          <w:iCs w:val="false"/>
          <w:color w:val="374151"/>
          <w:sz w:val="22"/>
          <w:szCs w:val="22"/>
        </w:rPr>
        <w:t xml:space="preserve">ASTM E2149 is the dynamic-contact antimicrobial test, designed specifically for non-leaching contact-kill chemistries. It is the appropriate primary efficacy test for FUZE because it isolates the mechanism the metamaterial actually uses. AATCC 100 is the historical layered antimicrobial test, designed around earlier leaching chemistries that depend on ion migration through inter-layer moisture. FUZE passes AATCC 100 at higher tiers (F1 and F2) where the metamaterial density is sufficient to overcome the inter-layer geometry; for F3 and F4 the primary efficacy test is ASTM E2149. Brand partners requesting an AATCC 100 result at F3 or F4 will receive a third-party report alongside a methodology note explaining the test selection.</w:t>
      </w:r>
    </w:p>
    <w:p>
      <w:pPr>
        <w:pStyle w:val="Heading2"/>
        <w:spacing w:after="140" w:before="240"/>
      </w:pPr>
      <w:r>
        <w:rPr>
          <w:rFonts w:ascii="Arial" w:cs="Arial" w:eastAsia="Arial" w:hAnsi="Arial"/>
          <w:b/>
          <w:bCs/>
          <w:color w:val="00B4C3"/>
          <w:sz w:val="26"/>
          <w:szCs w:val="26"/>
        </w:rPr>
        <w:t xml:space="preserve">5.4 Consumer Laundering Impact</w:t>
      </w:r>
    </w:p>
    <w:p>
      <w:pPr>
        <w:spacing w:after="120"/>
      </w:pPr>
      <w:r>
        <w:rPr>
          <w:rFonts w:ascii="Arial" w:cs="Arial" w:eastAsia="Arial" w:hAnsi="Arial"/>
          <w:b w:val="false"/>
          <w:bCs w:val="false"/>
          <w:i w:val="false"/>
          <w:iCs w:val="false"/>
          <w:color w:val="374151"/>
          <w:sz w:val="22"/>
          <w:szCs w:val="22"/>
        </w:rPr>
        <w:t xml:space="preserve">FUZE-treated garments do not require special laundering. Standard 30–60 °C wash cycles are compatible with the metamaterial bond. Anecdotal use-phase evidence from hospitality and healthcare deployments indicates reduced wash frequency for FUZE-treated linens due to odor and microbial control — early data suggests a 10–15% reduction in wash cycles per garment lifetime, which would translate to a measurable use-phase water and energy reduction. This figure is suggestive at present and would require a controlled study to quantify rigorously; we are open to a joint study with PVH on a specific PVH brand product.</w:t>
      </w:r>
    </w:p>
    <w:p>
      <w:pPr>
        <w:pStyle w:val="Heading2"/>
        <w:spacing w:after="140" w:before="240"/>
      </w:pPr>
      <w:r>
        <w:rPr>
          <w:rFonts w:ascii="Arial" w:cs="Arial" w:eastAsia="Arial" w:hAnsi="Arial"/>
          <w:b/>
          <w:bCs/>
          <w:color w:val="00B4C3"/>
          <w:sz w:val="26"/>
          <w:szCs w:val="26"/>
        </w:rPr>
        <w:t xml:space="preserve">5.5 Effluent During Use</w:t>
      </w:r>
    </w:p>
    <w:p>
      <w:pPr>
        <w:spacing w:after="120"/>
      </w:pPr>
      <w:r>
        <w:rPr>
          <w:rFonts w:ascii="Arial" w:cs="Arial" w:eastAsia="Arial" w:hAnsi="Arial"/>
          <w:b w:val="false"/>
          <w:bCs w:val="false"/>
          <w:i w:val="false"/>
          <w:iCs w:val="false"/>
          <w:color w:val="374151"/>
          <w:sz w:val="22"/>
          <w:szCs w:val="22"/>
        </w:rPr>
        <w:t xml:space="preserve">Because the metamaterial is non-leaching, wash effluent from FUZE-treated garments does not measurably contain metamaterial particles or dissolved active agent. This is in direct contrast to silver-ion and silver-chloride finishes, which have a documented wash-out profile (typically 5–20% wash-out per cycle in the early washes) and contribute to silver loading in municipal wastewater streams. FUZE eliminates this entire pathway.</w:t>
      </w:r>
    </w:p>
    <w:p>
      <w:r>
        <w:br w:type="page"/>
      </w:r>
    </w:p>
    <w:p>
      <w:pPr>
        <w:pStyle w:val="Heading1"/>
        <w:spacing w:after="200" w:before="320"/>
      </w:pPr>
      <w:r>
        <w:rPr>
          <w:rFonts w:ascii="Arial" w:cs="Arial" w:eastAsia="Arial" w:hAnsi="Arial"/>
          <w:b/>
          <w:bCs/>
          <w:color w:val="0A2A33"/>
          <w:sz w:val="32"/>
          <w:szCs w:val="32"/>
        </w:rPr>
        <w:t xml:space="preserve">6. Stage 5 — End of Life</w:t>
      </w:r>
    </w:p>
    <w:p>
      <w:pPr>
        <w:pStyle w:val="Heading2"/>
        <w:spacing w:after="140" w:before="240"/>
      </w:pPr>
      <w:r>
        <w:rPr>
          <w:rFonts w:ascii="Arial" w:cs="Arial" w:eastAsia="Arial" w:hAnsi="Arial"/>
          <w:b/>
          <w:bCs/>
          <w:color w:val="00B4C3"/>
          <w:sz w:val="26"/>
          <w:szCs w:val="26"/>
        </w:rPr>
        <w:t xml:space="preserve">6.1 Mechanical Recycling</w:t>
      </w:r>
    </w:p>
    <w:p>
      <w:pPr>
        <w:spacing w:after="120"/>
      </w:pPr>
      <w:r>
        <w:rPr>
          <w:rFonts w:ascii="Arial" w:cs="Arial" w:eastAsia="Arial" w:hAnsi="Arial"/>
          <w:b w:val="false"/>
          <w:bCs w:val="false"/>
          <w:i w:val="false"/>
          <w:iCs w:val="false"/>
          <w:color w:val="374151"/>
          <w:sz w:val="22"/>
          <w:szCs w:val="22"/>
        </w:rPr>
        <w:t xml:space="preserve">FUZE-treated fibers are compatible with mechanical recycling streams. The metamaterial is bonded at the fiber surface and represents &lt;0.001% of the fiber mass at F1 tier; it does not interfere with shredding, carding, re-spinning, or downstream fiber-to-fiber processing. PVH's mechanical recycling partners can treat FUZE-finished input streams without process modifications.</w:t>
      </w:r>
    </w:p>
    <w:p>
      <w:pPr>
        <w:pStyle w:val="Heading2"/>
        <w:spacing w:after="140" w:before="240"/>
      </w:pPr>
      <w:r>
        <w:rPr>
          <w:rFonts w:ascii="Arial" w:cs="Arial" w:eastAsia="Arial" w:hAnsi="Arial"/>
          <w:b/>
          <w:bCs/>
          <w:color w:val="00B4C3"/>
          <w:sz w:val="26"/>
          <w:szCs w:val="26"/>
        </w:rPr>
        <w:t xml:space="preserve">6.2 Chemical Recycling</w:t>
      </w:r>
    </w:p>
    <w:p>
      <w:pPr>
        <w:spacing w:after="120"/>
      </w:pPr>
      <w:r>
        <w:rPr>
          <w:rFonts w:ascii="Arial" w:cs="Arial" w:eastAsia="Arial" w:hAnsi="Arial"/>
          <w:b w:val="false"/>
          <w:bCs w:val="false"/>
          <w:i w:val="false"/>
          <w:iCs w:val="false"/>
          <w:color w:val="374151"/>
          <w:sz w:val="22"/>
          <w:szCs w:val="22"/>
        </w:rPr>
        <w:t xml:space="preserve">FUZE does not interfere with chemical recycling of polyester, polyamide, or cellulosic fibers. The metamaterial does not participate in glycolysis (for PET depolymerization), enzymatic hydrolysis, or solvent-based fiber regeneration chemistries. End-of-life PVH input streams from FUZE-treated articles can re-enter the regulated chemical recycling supply chain without contamination concerns.</w:t>
      </w:r>
    </w:p>
    <w:p>
      <w:pPr>
        <w:pStyle w:val="Heading2"/>
        <w:spacing w:after="140" w:before="240"/>
      </w:pPr>
      <w:r>
        <w:rPr>
          <w:rFonts w:ascii="Arial" w:cs="Arial" w:eastAsia="Arial" w:hAnsi="Arial"/>
          <w:b/>
          <w:bCs/>
          <w:color w:val="00B4C3"/>
          <w:sz w:val="26"/>
          <w:szCs w:val="26"/>
        </w:rPr>
        <w:t xml:space="preserve">6.3 Incineration with Energy Recovery</w:t>
      </w:r>
    </w:p>
    <w:p>
      <w:pPr>
        <w:spacing w:after="120"/>
      </w:pPr>
      <w:r>
        <w:rPr>
          <w:rFonts w:ascii="Arial" w:cs="Arial" w:eastAsia="Arial" w:hAnsi="Arial"/>
          <w:b w:val="false"/>
          <w:bCs w:val="false"/>
          <w:i w:val="false"/>
          <w:iCs w:val="false"/>
          <w:color w:val="374151"/>
          <w:sz w:val="22"/>
          <w:szCs w:val="22"/>
        </w:rPr>
        <w:t xml:space="preserve">In incineration end-of-life pathways, the metamaterial enters the ash stream alongside other inorganic fiber residues. Trace metallic content at &lt;0.001% of fiber mass falls well below thresholds for hazardous-waste classification of incineration residues. No special handling is required.</w:t>
      </w:r>
    </w:p>
    <w:p>
      <w:pPr>
        <w:pStyle w:val="Heading2"/>
        <w:spacing w:after="140" w:before="240"/>
      </w:pPr>
      <w:r>
        <w:rPr>
          <w:rFonts w:ascii="Arial" w:cs="Arial" w:eastAsia="Arial" w:hAnsi="Arial"/>
          <w:b/>
          <w:bCs/>
          <w:color w:val="00B4C3"/>
          <w:sz w:val="26"/>
          <w:szCs w:val="26"/>
        </w:rPr>
        <w:t xml:space="preserve">6.4 Landfill</w:t>
      </w:r>
    </w:p>
    <w:p>
      <w:pPr>
        <w:spacing w:after="120"/>
      </w:pPr>
      <w:r>
        <w:rPr>
          <w:rFonts w:ascii="Arial" w:cs="Arial" w:eastAsia="Arial" w:hAnsi="Arial"/>
          <w:b w:val="false"/>
          <w:bCs w:val="false"/>
          <w:i w:val="false"/>
          <w:iCs w:val="false"/>
          <w:color w:val="374151"/>
          <w:sz w:val="22"/>
          <w:szCs w:val="22"/>
        </w:rPr>
        <w:t xml:space="preserve">In landfill disposition, the bonded metamaterial does not leach from the fiber under landfill conditions. It does not contribute to groundwater contamination pathways. Environmental persistence is limited to the metamaterial particles themselves, which are inorganic and chemically inert at the concentrations present (&lt;0.001% of fiber mass).</w:t>
      </w:r>
    </w:p>
    <w:p>
      <w:pPr>
        <w:pStyle w:val="Heading2"/>
        <w:spacing w:after="140" w:before="240"/>
      </w:pPr>
      <w:r>
        <w:rPr>
          <w:rFonts w:ascii="Arial" w:cs="Arial" w:eastAsia="Arial" w:hAnsi="Arial"/>
          <w:b/>
          <w:bCs/>
          <w:color w:val="00B4C3"/>
          <w:sz w:val="26"/>
          <w:szCs w:val="26"/>
        </w:rPr>
        <w:t xml:space="preserve">6.5 Closed-Loop Compatibility</w:t>
      </w:r>
    </w:p>
    <w:p>
      <w:pPr>
        <w:spacing w:after="120"/>
      </w:pPr>
      <w:r>
        <w:rPr>
          <w:rFonts w:ascii="Arial" w:cs="Arial" w:eastAsia="Arial" w:hAnsi="Arial"/>
          <w:b w:val="false"/>
          <w:bCs w:val="false"/>
          <w:i w:val="false"/>
          <w:iCs w:val="false"/>
          <w:color w:val="374151"/>
          <w:sz w:val="22"/>
          <w:szCs w:val="22"/>
        </w:rPr>
        <w:t xml:space="preserve">FUZE is compatible with PVH's closed-loop and circular-economy commitments. Articles can return to mechanical or chemical recycling without contamination of the recovered fiber stream. This is materially different from PFAS-containing water-repellent finishes (which contaminate downstream streams) and from some heavy-metal mordants (which require specialized recycling streams). FUZE-treated articles do not require segregation from non-FUZE input streams at recovery.</w:t>
      </w:r>
    </w:p>
    <w:p>
      <w:r>
        <w:br w:type="page"/>
      </w:r>
    </w:p>
    <w:p>
      <w:pPr>
        <w:pStyle w:val="Heading1"/>
        <w:spacing w:after="200" w:before="320"/>
      </w:pPr>
      <w:r>
        <w:rPr>
          <w:rFonts w:ascii="Arial" w:cs="Arial" w:eastAsia="Arial" w:hAnsi="Arial"/>
          <w:b/>
          <w:bCs/>
          <w:color w:val="0A2A33"/>
          <w:sz w:val="32"/>
          <w:szCs w:val="32"/>
        </w:rPr>
        <w:t xml:space="preserve">7. Comparative Analysis</w:t>
      </w:r>
    </w:p>
    <w:p>
      <w:pPr>
        <w:spacing w:after="120"/>
      </w:pPr>
      <w:r>
        <w:rPr>
          <w:rFonts w:ascii="Arial" w:cs="Arial" w:eastAsia="Arial" w:hAnsi="Arial"/>
          <w:b w:val="false"/>
          <w:bCs w:val="false"/>
          <w:i w:val="false"/>
          <w:iCs w:val="false"/>
          <w:color w:val="374151"/>
          <w:sz w:val="22"/>
          <w:szCs w:val="22"/>
        </w:rPr>
        <w:t xml:space="preserve">This section provides a side-by-side comparison of FUZE against the three most common incumbent antimicrobial chemistries used in apparel and home-textile finishing: silver-ion / silver-chloride (e.g., Silvadur 930 Flex), Polygiene-style silver-ion finishes, and quaternary ammonium compound (QAC) finishes.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rPr>
          <w:tblHeader/>
        </w:trPr>
        <w:tc>
          <w:tcPr>
            <w:tcW w:type="dxa" w:w="2640"/>
            <w:tcBorders>
              <w:top w:val="single" w:color="CCD2D4" w:sz="4"/>
              <w:left w:val="single" w:color="CCD2D4" w:sz="4"/>
              <w:bottom w:val="single" w:color="CCD2D4" w:sz="4"/>
              <w:right w:val="single" w:color="CCD2D4" w:sz="4"/>
            </w:tcBorders>
            <w:shd w:fill="0A2A33" w:val="clear"/>
            <w:tcMar>
              <w:top w:type="dxa" w:w="100"/>
              <w:left w:type="dxa" w:w="140"/>
              <w:bottom w:type="dxa" w:w="100"/>
              <w:right w:type="dxa" w:w="140"/>
            </w:tcMar>
          </w:tcPr>
          <w:p>
            <w:r>
              <w:rPr>
                <w:rFonts w:ascii="Arial" w:cs="Arial" w:eastAsia="Arial" w:hAnsi="Arial"/>
                <w:b/>
                <w:bCs/>
                <w:color w:val="FFFFFF"/>
                <w:sz w:val="19"/>
                <w:szCs w:val="19"/>
              </w:rPr>
              <w:t xml:space="preserve">Attribute</w:t>
            </w:r>
          </w:p>
        </w:tc>
        <w:tc>
          <w:tcPr>
            <w:tcW w:type="dxa" w:w="1680"/>
            <w:tcBorders>
              <w:top w:val="single" w:color="CCD2D4" w:sz="4"/>
              <w:left w:val="single" w:color="CCD2D4" w:sz="4"/>
              <w:bottom w:val="single" w:color="CCD2D4" w:sz="4"/>
              <w:right w:val="single" w:color="CCD2D4" w:sz="4"/>
            </w:tcBorders>
            <w:shd w:fill="0A2A33" w:val="clear"/>
            <w:tcMar>
              <w:top w:type="dxa" w:w="100"/>
              <w:left w:type="dxa" w:w="140"/>
              <w:bottom w:type="dxa" w:w="100"/>
              <w:right w:type="dxa" w:w="140"/>
            </w:tcMar>
          </w:tcPr>
          <w:p>
            <w:r>
              <w:rPr>
                <w:rFonts w:ascii="Arial" w:cs="Arial" w:eastAsia="Arial" w:hAnsi="Arial"/>
                <w:b/>
                <w:bCs/>
                <w:color w:val="FFFFFF"/>
                <w:sz w:val="19"/>
                <w:szCs w:val="19"/>
              </w:rPr>
              <w:t xml:space="preserve">FUZE</w:t>
            </w:r>
          </w:p>
        </w:tc>
        <w:tc>
          <w:tcPr>
            <w:tcW w:type="dxa" w:w="1680"/>
            <w:tcBorders>
              <w:top w:val="single" w:color="CCD2D4" w:sz="4"/>
              <w:left w:val="single" w:color="CCD2D4" w:sz="4"/>
              <w:bottom w:val="single" w:color="CCD2D4" w:sz="4"/>
              <w:right w:val="single" w:color="CCD2D4" w:sz="4"/>
            </w:tcBorders>
            <w:shd w:fill="0A2A33" w:val="clear"/>
            <w:tcMar>
              <w:top w:type="dxa" w:w="100"/>
              <w:left w:type="dxa" w:w="140"/>
              <w:bottom w:type="dxa" w:w="100"/>
              <w:right w:type="dxa" w:w="140"/>
            </w:tcMar>
          </w:tcPr>
          <w:p>
            <w:r>
              <w:rPr>
                <w:rFonts w:ascii="Arial" w:cs="Arial" w:eastAsia="Arial" w:hAnsi="Arial"/>
                <w:b/>
                <w:bCs/>
                <w:color w:val="FFFFFF"/>
                <w:sz w:val="19"/>
                <w:szCs w:val="19"/>
              </w:rPr>
              <w:t xml:space="preserve">Silvadur / Silver-ion</w:t>
            </w:r>
          </w:p>
        </w:tc>
        <w:tc>
          <w:tcPr>
            <w:tcW w:type="dxa" w:w="1680"/>
            <w:tcBorders>
              <w:top w:val="single" w:color="CCD2D4" w:sz="4"/>
              <w:left w:val="single" w:color="CCD2D4" w:sz="4"/>
              <w:bottom w:val="single" w:color="CCD2D4" w:sz="4"/>
              <w:right w:val="single" w:color="CCD2D4" w:sz="4"/>
            </w:tcBorders>
            <w:shd w:fill="0A2A33" w:val="clear"/>
            <w:tcMar>
              <w:top w:type="dxa" w:w="100"/>
              <w:left w:type="dxa" w:w="140"/>
              <w:bottom w:type="dxa" w:w="100"/>
              <w:right w:type="dxa" w:w="140"/>
            </w:tcMar>
          </w:tcPr>
          <w:p>
            <w:r>
              <w:rPr>
                <w:rFonts w:ascii="Arial" w:cs="Arial" w:eastAsia="Arial" w:hAnsi="Arial"/>
                <w:b/>
                <w:bCs/>
                <w:color w:val="FFFFFF"/>
                <w:sz w:val="19"/>
                <w:szCs w:val="19"/>
              </w:rPr>
              <w:t xml:space="preserve">Polygiene</w:t>
            </w:r>
          </w:p>
        </w:tc>
        <w:tc>
          <w:tcPr>
            <w:tcW w:type="dxa" w:w="1680"/>
            <w:tcBorders>
              <w:top w:val="single" w:color="CCD2D4" w:sz="4"/>
              <w:left w:val="single" w:color="CCD2D4" w:sz="4"/>
              <w:bottom w:val="single" w:color="CCD2D4" w:sz="4"/>
              <w:right w:val="single" w:color="CCD2D4" w:sz="4"/>
            </w:tcBorders>
            <w:shd w:fill="0A2A33" w:val="clear"/>
            <w:tcMar>
              <w:top w:type="dxa" w:w="100"/>
              <w:left w:type="dxa" w:w="140"/>
              <w:bottom w:type="dxa" w:w="100"/>
              <w:right w:type="dxa" w:w="140"/>
            </w:tcMar>
          </w:tcPr>
          <w:p>
            <w:r>
              <w:rPr>
                <w:rFonts w:ascii="Arial" w:cs="Arial" w:eastAsia="Arial" w:hAnsi="Arial"/>
                <w:b/>
                <w:bCs/>
                <w:color w:val="FFFFFF"/>
                <w:sz w:val="19"/>
                <w:szCs w:val="19"/>
              </w:rPr>
              <w:t xml:space="preserve">QAC</w:t>
            </w:r>
          </w:p>
        </w:tc>
      </w:tr>
      <w:tr>
        <w:tc>
          <w:tcPr>
            <w:tcW w:type="dxa" w:w="264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Active loading on fabric (mg/kg)</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0.25–1.0 (F4–F1)</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50–500</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50–300</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500–5,000</w:t>
            </w:r>
          </w:p>
        </w:tc>
      </w:tr>
      <w:tr>
        <w:tc>
          <w:tcPr>
            <w:tcW w:type="dxa" w:w="264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Mechanism</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Non-leaching contact-kill</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Leaching ion release</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Leaching ion release</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Leaching surfactant kill</w:t>
            </w:r>
          </w:p>
        </w:tc>
      </w:tr>
      <w:tr>
        <w:tc>
          <w:tcPr>
            <w:tcW w:type="dxa" w:w="264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Wash effluent metallic release</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Not detected</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5–20% / cycle (early)</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5–20% / cycle (early)</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N/A (organic)</w:t>
            </w:r>
          </w:p>
        </w:tc>
      </w:tr>
      <w:tr>
        <w:tc>
          <w:tcPr>
            <w:tcW w:type="dxa" w:w="264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Wash durability (claim)</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F1: 100, F2: 75, F3: 50, F4: 25</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50 (self-published)</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50–100 (varies)</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20–40</w:t>
            </w:r>
          </w:p>
        </w:tc>
      </w:tr>
      <w:tr>
        <w:tc>
          <w:tcPr>
            <w:tcW w:type="dxa" w:w="264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Third-party AATCC 100 wash reports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Shared on request</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Not published</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Not published</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Inconsistent</w:t>
            </w:r>
          </w:p>
        </w:tc>
      </w:tr>
      <w:tr>
        <w:tc>
          <w:tcPr>
            <w:tcW w:type="dxa" w:w="264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PFAS-free</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Typically yes</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Typically yes</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r>
      <w:tr>
        <w:tc>
          <w:tcPr>
            <w:tcW w:type="dxa" w:w="264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Formaldehyde-releasing crosslinker required</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No</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Sometimes (DMDHEU class)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Varies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No</w:t>
            </w:r>
          </w:p>
        </w:tc>
      </w:tr>
      <w:tr>
        <w:tc>
          <w:tcPr>
            <w:tcW w:type="dxa" w:w="264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EPA federal registration</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 (most)</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 (most)</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 (most)</w:t>
            </w:r>
          </w:p>
        </w:tc>
      </w:tr>
      <w:tr>
        <w:tc>
          <w:tcPr>
            <w:tcW w:type="dxa" w:w="264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California EPA approval</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Yes (Q1 2026)</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Varies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Varies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Varies</w:t>
            </w:r>
          </w:p>
        </w:tc>
      </w:tr>
      <w:tr>
        <w:tc>
          <w:tcPr>
            <w:tcW w:type="dxa" w:w="264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OEKO-TEX Standard 100 Class I</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 (most)</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 (most)</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Limited</w:t>
            </w:r>
          </w:p>
        </w:tc>
      </w:tr>
      <w:tr>
        <w:tc>
          <w:tcPr>
            <w:tcW w:type="dxa" w:w="264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bluesign® approved</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Varies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Varies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Limited</w:t>
            </w:r>
          </w:p>
        </w:tc>
      </w:tr>
      <w:tr>
        <w:tc>
          <w:tcPr>
            <w:tcW w:type="dxa" w:w="264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Recycled feedstock</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 (recycled electronics)</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(virgin or refined)</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(virgin or refined)</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Petrochemical</w:t>
            </w:r>
          </w:p>
        </w:tc>
      </w:tr>
      <w:tr>
        <w:tc>
          <w:tcPr>
            <w:tcW w:type="dxa" w:w="264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Mechanical recycling compatible</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r>
      <w:tr>
        <w:tc>
          <w:tcPr>
            <w:tcW w:type="dxa" w:w="264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Chemical recycling compatible</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Yes</w:t>
            </w:r>
          </w:p>
        </w:tc>
        <w:tc>
          <w:tcPr>
            <w:tcW w:type="dxa" w:w="168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Limited</w:t>
            </w:r>
          </w:p>
        </w:tc>
      </w:tr>
      <w:tr>
        <w:tc>
          <w:tcPr>
            <w:tcW w:type="dxa" w:w="264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Re-application required mid-lifecycle</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No</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No (single mill pass)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No (single mill pass)</w:t>
            </w:r>
          </w:p>
        </w:tc>
        <w:tc>
          <w:tcPr>
            <w:tcW w:type="dxa" w:w="168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Sometimes</w:t>
            </w:r>
          </w:p>
        </w:tc>
      </w:tr>
    </w:tbl>
    <w:p>
      <w:pPr>
        <w:spacing w:after="240"/>
      </w:pPr>
    </w:p>
    <w:p>
      <w:pPr>
        <w:spacing w:after="120"/>
      </w:pPr>
      <w:r>
        <w:rPr>
          <w:rFonts w:ascii="Arial" w:cs="Arial" w:eastAsia="Arial" w:hAnsi="Arial"/>
          <w:b w:val="false"/>
          <w:bCs w:val="false"/>
          <w:i/>
          <w:iCs/>
          <w:color w:val="374151"/>
          <w:sz w:val="22"/>
          <w:szCs w:val="22"/>
        </w:rPr>
        <w:t xml:space="preserve">The most material distinction is the active loading on fabric. FUZE achieves equivalent or superior antimicrobial performance at 50–500× lower active loading than incumbent leaching chemistries. This is the fundamental driver of FUZE's environmental profile: less active means less feedstock, less wash effluent burden, less wastewater treatment load, and less downstream environmental release at every subsequent life-cycle stage.</w:t>
      </w:r>
    </w:p>
    <w:p>
      <w:r>
        <w:br w:type="page"/>
      </w:r>
    </w:p>
    <w:p>
      <w:pPr>
        <w:pStyle w:val="Heading1"/>
        <w:spacing w:after="200" w:before="320"/>
      </w:pPr>
      <w:r>
        <w:rPr>
          <w:rFonts w:ascii="Arial" w:cs="Arial" w:eastAsia="Arial" w:hAnsi="Arial"/>
          <w:b/>
          <w:bCs/>
          <w:color w:val="0A2A33"/>
          <w:sz w:val="32"/>
          <w:szCs w:val="32"/>
        </w:rPr>
        <w:t xml:space="preserve">8. Compliance, Certifications, and Standards</w:t>
      </w:r>
    </w:p>
    <w:p>
      <w:pPr>
        <w:pStyle w:val="Heading2"/>
        <w:spacing w:after="140" w:before="240"/>
      </w:pPr>
      <w:r>
        <w:rPr>
          <w:rFonts w:ascii="Arial" w:cs="Arial" w:eastAsia="Arial" w:hAnsi="Arial"/>
          <w:b/>
          <w:bCs/>
          <w:color w:val="00B4C3"/>
          <w:sz w:val="26"/>
          <w:szCs w:val="26"/>
        </w:rPr>
        <w:t xml:space="preserve">8.1 Antimicrobial Efficacy Standards</w:t>
      </w:r>
    </w:p>
    <w:p>
      <w:pPr>
        <w:pStyle w:val="ListParagraph"/>
        <w:numPr>
          <w:ilvl w:val="0"/>
          <w:numId w:val="2"/>
        </w:numPr>
        <w:spacing w:after="80"/>
      </w:pPr>
      <w:r>
        <w:rPr>
          <w:rFonts w:ascii="Arial" w:cs="Arial" w:eastAsia="Arial" w:hAnsi="Arial"/>
          <w:color w:val="374151"/>
          <w:sz w:val="22"/>
          <w:szCs w:val="22"/>
        </w:rPr>
        <w:t xml:space="preserve">ASTM E2149 — Dynamic Contact Antimicrobial Activity. Primary efficacy test for non-leaching contact-kill chemistry.</w:t>
      </w:r>
    </w:p>
    <w:p>
      <w:pPr>
        <w:pStyle w:val="ListParagraph"/>
        <w:numPr>
          <w:ilvl w:val="0"/>
          <w:numId w:val="2"/>
        </w:numPr>
        <w:spacing w:after="80"/>
      </w:pPr>
      <w:r>
        <w:rPr>
          <w:rFonts w:ascii="Arial" w:cs="Arial" w:eastAsia="Arial" w:hAnsi="Arial"/>
          <w:color w:val="374151"/>
          <w:sz w:val="22"/>
          <w:szCs w:val="22"/>
        </w:rPr>
        <w:t xml:space="preserve">AATCC 100 — Quantitative Antibacterial Assessment of Textile Materials. Historical layered test; FUZE passes at F1 and F2 tiers.</w:t>
      </w:r>
    </w:p>
    <w:p>
      <w:pPr>
        <w:pStyle w:val="ListParagraph"/>
        <w:numPr>
          <w:ilvl w:val="0"/>
          <w:numId w:val="2"/>
        </w:numPr>
        <w:spacing w:after="80"/>
      </w:pPr>
      <w:r>
        <w:rPr>
          <w:rFonts w:ascii="Arial" w:cs="Arial" w:eastAsia="Arial" w:hAnsi="Arial"/>
          <w:color w:val="374151"/>
          <w:sz w:val="22"/>
          <w:szCs w:val="22"/>
        </w:rPr>
        <w:t xml:space="preserve">ISO 20743 — Determination of Antibacterial Activity of Textile Products. International equivalent for layered testing.</w:t>
      </w:r>
    </w:p>
    <w:p>
      <w:pPr>
        <w:pStyle w:val="ListParagraph"/>
        <w:numPr>
          <w:ilvl w:val="0"/>
          <w:numId w:val="2"/>
        </w:numPr>
        <w:spacing w:after="80"/>
      </w:pPr>
      <w:r>
        <w:rPr>
          <w:rFonts w:ascii="Arial" w:cs="Arial" w:eastAsia="Arial" w:hAnsi="Arial"/>
          <w:color w:val="374151"/>
          <w:sz w:val="22"/>
          <w:szCs w:val="22"/>
        </w:rPr>
        <w:t xml:space="preserve">AATCC 30 — Antifungal Assessment. Documented efficacy across F1–F2 tiers.</w:t>
      </w:r>
    </w:p>
    <w:p>
      <w:pPr>
        <w:pStyle w:val="ListParagraph"/>
        <w:numPr>
          <w:ilvl w:val="0"/>
          <w:numId w:val="2"/>
        </w:numPr>
        <w:spacing w:after="80"/>
      </w:pPr>
      <w:r>
        <w:rPr>
          <w:rFonts w:ascii="Arial" w:cs="Arial" w:eastAsia="Arial" w:hAnsi="Arial"/>
          <w:color w:val="374151"/>
          <w:sz w:val="22"/>
          <w:szCs w:val="22"/>
        </w:rPr>
        <w:t xml:space="preserve">ISO 18184 — Antiviral Activity. Documented efficacy on F1 and F2 tiers (select pathogens).</w:t>
      </w:r>
    </w:p>
    <w:p>
      <w:pPr>
        <w:pStyle w:val="Heading2"/>
        <w:spacing w:after="140" w:before="240"/>
      </w:pPr>
      <w:r>
        <w:rPr>
          <w:rFonts w:ascii="Arial" w:cs="Arial" w:eastAsia="Arial" w:hAnsi="Arial"/>
          <w:b/>
          <w:bCs/>
          <w:color w:val="00B4C3"/>
          <w:sz w:val="26"/>
          <w:szCs w:val="26"/>
        </w:rPr>
        <w:t xml:space="preserve">8.2 Substance and Safety Certifications</w:t>
      </w:r>
    </w:p>
    <w:p>
      <w:pPr>
        <w:pStyle w:val="ListParagraph"/>
        <w:numPr>
          <w:ilvl w:val="0"/>
          <w:numId w:val="2"/>
        </w:numPr>
        <w:spacing w:after="80"/>
      </w:pPr>
      <w:r>
        <w:rPr>
          <w:rFonts w:ascii="Arial" w:cs="Arial" w:eastAsia="Arial" w:hAnsi="Arial"/>
          <w:color w:val="374151"/>
          <w:sz w:val="22"/>
          <w:szCs w:val="22"/>
        </w:rPr>
        <w:t xml:space="preserve">OEKO-TEX Standard 100, Class I (safe for infant articles)</w:t>
      </w:r>
    </w:p>
    <w:p>
      <w:pPr>
        <w:pStyle w:val="ListParagraph"/>
        <w:numPr>
          <w:ilvl w:val="0"/>
          <w:numId w:val="2"/>
        </w:numPr>
        <w:spacing w:after="80"/>
      </w:pPr>
      <w:r>
        <w:rPr>
          <w:rFonts w:ascii="Arial" w:cs="Arial" w:eastAsia="Arial" w:hAnsi="Arial"/>
          <w:color w:val="374151"/>
          <w:sz w:val="22"/>
          <w:szCs w:val="22"/>
        </w:rPr>
        <w:t xml:space="preserve">bluesign® approved (sustainability-screened chemical input certification)</w:t>
      </w:r>
    </w:p>
    <w:p>
      <w:pPr>
        <w:pStyle w:val="ListParagraph"/>
        <w:numPr>
          <w:ilvl w:val="0"/>
          <w:numId w:val="2"/>
        </w:numPr>
        <w:spacing w:after="80"/>
      </w:pPr>
      <w:r>
        <w:rPr>
          <w:rFonts w:ascii="Arial" w:cs="Arial" w:eastAsia="Arial" w:hAnsi="Arial"/>
          <w:color w:val="374151"/>
          <w:sz w:val="22"/>
          <w:szCs w:val="22"/>
        </w:rPr>
        <w:t xml:space="preserve">PFAS-free attestation on file</w:t>
      </w:r>
    </w:p>
    <w:p>
      <w:pPr>
        <w:pStyle w:val="ListParagraph"/>
        <w:numPr>
          <w:ilvl w:val="0"/>
          <w:numId w:val="2"/>
        </w:numPr>
        <w:spacing w:after="80"/>
      </w:pPr>
      <w:r>
        <w:rPr>
          <w:rFonts w:ascii="Arial" w:cs="Arial" w:eastAsia="Arial" w:hAnsi="Arial"/>
          <w:color w:val="374151"/>
          <w:sz w:val="22"/>
          <w:szCs w:val="22"/>
        </w:rPr>
        <w:t xml:space="preserve">RSL (Restricted Substances List) compliance — major brand RSL programs evaluated; no flagged substances present</w:t>
      </w:r>
    </w:p>
    <w:p>
      <w:pPr>
        <w:pStyle w:val="Heading2"/>
        <w:spacing w:after="140" w:before="240"/>
      </w:pPr>
      <w:r>
        <w:rPr>
          <w:rFonts w:ascii="Arial" w:cs="Arial" w:eastAsia="Arial" w:hAnsi="Arial"/>
          <w:b/>
          <w:bCs/>
          <w:color w:val="00B4C3"/>
          <w:sz w:val="26"/>
          <w:szCs w:val="26"/>
        </w:rPr>
        <w:t xml:space="preserve">8.3 Regulatory Registration</w:t>
      </w:r>
    </w:p>
    <w:p>
      <w:pPr>
        <w:pStyle w:val="ListParagraph"/>
        <w:numPr>
          <w:ilvl w:val="0"/>
          <w:numId w:val="2"/>
        </w:numPr>
        <w:spacing w:after="80"/>
      </w:pPr>
      <w:r>
        <w:rPr>
          <w:rFonts w:ascii="Arial" w:cs="Arial" w:eastAsia="Arial" w:hAnsi="Arial"/>
          <w:color w:val="374151"/>
          <w:sz w:val="22"/>
          <w:szCs w:val="22"/>
        </w:rPr>
        <w:t xml:space="preserve">US EPA federal pesticide registration (Title 40 CFR Part 152, antimicrobial active ingredient)</w:t>
      </w:r>
    </w:p>
    <w:p>
      <w:pPr>
        <w:pStyle w:val="ListParagraph"/>
        <w:numPr>
          <w:ilvl w:val="0"/>
          <w:numId w:val="2"/>
        </w:numPr>
        <w:spacing w:after="80"/>
      </w:pPr>
      <w:r>
        <w:rPr>
          <w:rFonts w:ascii="Arial" w:cs="Arial" w:eastAsia="Arial" w:hAnsi="Arial"/>
          <w:color w:val="374151"/>
          <w:sz w:val="22"/>
          <w:szCs w:val="22"/>
        </w:rPr>
        <w:t xml:space="preserve">California EPA approval (Q1 2026 — relevant for products distributed into California-regulated activewear, baby, and healthcare categories)</w:t>
      </w:r>
    </w:p>
    <w:p>
      <w:pPr>
        <w:pStyle w:val="ListParagraph"/>
        <w:numPr>
          <w:ilvl w:val="0"/>
          <w:numId w:val="2"/>
        </w:numPr>
        <w:spacing w:after="80"/>
      </w:pPr>
      <w:r>
        <w:rPr>
          <w:rFonts w:ascii="Arial" w:cs="Arial" w:eastAsia="Arial" w:hAnsi="Arial"/>
          <w:color w:val="374151"/>
          <w:sz w:val="22"/>
          <w:szCs w:val="22"/>
        </w:rPr>
        <w:t xml:space="preserve">CAS Registry: 7440-22-4 (chemical identity for compliance and SDS documentation only; customer-facing communications use FUZE / metamaterial terminology)</w:t>
      </w:r>
    </w:p>
    <w:p>
      <w:pPr>
        <w:pStyle w:val="Heading2"/>
        <w:spacing w:after="140" w:before="240"/>
      </w:pPr>
      <w:r>
        <w:rPr>
          <w:rFonts w:ascii="Arial" w:cs="Arial" w:eastAsia="Arial" w:hAnsi="Arial"/>
          <w:b/>
          <w:bCs/>
          <w:color w:val="00B4C3"/>
          <w:sz w:val="26"/>
          <w:szCs w:val="26"/>
        </w:rPr>
        <w:t xml:space="preserve">8.4 Alignment with Major Brand Sustainability Frameworks</w:t>
      </w:r>
    </w:p>
    <w:p>
      <w:pPr>
        <w:pStyle w:val="ListParagraph"/>
        <w:numPr>
          <w:ilvl w:val="0"/>
          <w:numId w:val="2"/>
        </w:numPr>
        <w:spacing w:after="80"/>
      </w:pPr>
      <w:r>
        <w:rPr>
          <w:rFonts w:ascii="Arial" w:cs="Arial" w:eastAsia="Arial" w:hAnsi="Arial"/>
          <w:color w:val="374151"/>
          <w:sz w:val="22"/>
          <w:szCs w:val="22"/>
        </w:rPr>
        <w:t xml:space="preserve">ZDHC (Zero Discharge of Hazardous Chemicals) MRSL: no flagged substances. Compatible with ZDHC Conformance Level 3.</w:t>
      </w:r>
    </w:p>
    <w:p>
      <w:pPr>
        <w:pStyle w:val="ListParagraph"/>
        <w:numPr>
          <w:ilvl w:val="0"/>
          <w:numId w:val="2"/>
        </w:numPr>
        <w:spacing w:after="80"/>
      </w:pPr>
      <w:r>
        <w:rPr>
          <w:rFonts w:ascii="Arial" w:cs="Arial" w:eastAsia="Arial" w:hAnsi="Arial"/>
          <w:color w:val="374151"/>
          <w:sz w:val="22"/>
          <w:szCs w:val="22"/>
        </w:rPr>
        <w:t xml:space="preserve">Higg FEM (Facility Environmental Module) chemistry inputs: FUZE is a compatible non-flagged input.</w:t>
      </w:r>
    </w:p>
    <w:p>
      <w:pPr>
        <w:pStyle w:val="ListParagraph"/>
        <w:numPr>
          <w:ilvl w:val="0"/>
          <w:numId w:val="2"/>
        </w:numPr>
        <w:spacing w:after="80"/>
      </w:pPr>
      <w:r>
        <w:rPr>
          <w:rFonts w:ascii="Arial" w:cs="Arial" w:eastAsia="Arial" w:hAnsi="Arial"/>
          <w:color w:val="374151"/>
          <w:sz w:val="22"/>
          <w:szCs w:val="22"/>
        </w:rPr>
        <w:t xml:space="preserve">CDP (Carbon Disclosure Project): production-stage emissions can be reported under Scope 3 Category 1 for brand partners using FUZE-treated textiles.</w:t>
      </w:r>
    </w:p>
    <w:p>
      <w:r>
        <w:br w:type="page"/>
      </w:r>
    </w:p>
    <w:p>
      <w:pPr>
        <w:pStyle w:val="Heading1"/>
        <w:spacing w:after="200" w:before="320"/>
      </w:pPr>
      <w:r>
        <w:rPr>
          <w:rFonts w:ascii="Arial" w:cs="Arial" w:eastAsia="Arial" w:hAnsi="Arial"/>
          <w:b/>
          <w:bCs/>
          <w:color w:val="0A2A33"/>
          <w:sz w:val="32"/>
          <w:szCs w:val="32"/>
        </w:rPr>
        <w:t xml:space="preserve">9. Alignment with PVH Forward Fashion Commitments</w:t>
      </w:r>
    </w:p>
    <w:p>
      <w:pPr>
        <w:spacing w:after="120"/>
      </w:pPr>
      <w:r>
        <w:rPr>
          <w:rFonts w:ascii="Arial" w:cs="Arial" w:eastAsia="Arial" w:hAnsi="Arial"/>
          <w:b w:val="false"/>
          <w:bCs w:val="false"/>
          <w:i w:val="false"/>
          <w:iCs w:val="false"/>
          <w:color w:val="374151"/>
          <w:sz w:val="22"/>
          <w:szCs w:val="22"/>
        </w:rPr>
        <w:t xml:space="preserve">This section maps FUZE's life-cycle profile to PVH's published Forward Fashion 2030 commitments. Mapping is qualitative where PVH's targets are qualitative, and quantitative where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D2D4" w:sz="4"/>
              <w:left w:val="single" w:color="CCD2D4" w:sz="4"/>
              <w:bottom w:val="single" w:color="CCD2D4" w:sz="4"/>
              <w:right w:val="single" w:color="CCD2D4" w:sz="4"/>
            </w:tcBorders>
            <w:shd w:fill="0A2A33" w:val="clear"/>
            <w:tcMar>
              <w:top w:type="dxa" w:w="100"/>
              <w:left w:type="dxa" w:w="140"/>
              <w:bottom w:type="dxa" w:w="100"/>
              <w:right w:type="dxa" w:w="140"/>
            </w:tcMar>
          </w:tcPr>
          <w:p>
            <w:r>
              <w:rPr>
                <w:rFonts w:ascii="Arial" w:cs="Arial" w:eastAsia="Arial" w:hAnsi="Arial"/>
                <w:b/>
                <w:bCs/>
                <w:color w:val="FFFFFF"/>
                <w:sz w:val="19"/>
                <w:szCs w:val="19"/>
              </w:rPr>
              <w:t xml:space="preserve">PVH Commitment</w:t>
            </w:r>
          </w:p>
        </w:tc>
        <w:tc>
          <w:tcPr>
            <w:tcW w:type="dxa" w:w="6360"/>
            <w:tcBorders>
              <w:top w:val="single" w:color="CCD2D4" w:sz="4"/>
              <w:left w:val="single" w:color="CCD2D4" w:sz="4"/>
              <w:bottom w:val="single" w:color="CCD2D4" w:sz="4"/>
              <w:right w:val="single" w:color="CCD2D4" w:sz="4"/>
            </w:tcBorders>
            <w:shd w:fill="0A2A33" w:val="clear"/>
            <w:tcMar>
              <w:top w:type="dxa" w:w="100"/>
              <w:left w:type="dxa" w:w="140"/>
              <w:bottom w:type="dxa" w:w="100"/>
              <w:right w:type="dxa" w:w="140"/>
            </w:tcMar>
          </w:tcPr>
          <w:p>
            <w:r>
              <w:rPr>
                <w:rFonts w:ascii="Arial" w:cs="Arial" w:eastAsia="Arial" w:hAnsi="Arial"/>
                <w:b/>
                <w:bCs/>
                <w:color w:val="FFFFFF"/>
                <w:sz w:val="19"/>
                <w:szCs w:val="19"/>
              </w:rPr>
              <w:t xml:space="preserve">FUZE Contribution</w:t>
            </w:r>
          </w:p>
        </w:tc>
      </w:tr>
      <w:tr>
        <w:tc>
          <w:tcPr>
            <w:tcW w:type="dxa" w:w="300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100% renewable energy in owned and operated facilities</w:t>
            </w:r>
          </w:p>
        </w:tc>
        <w:tc>
          <w:tcPr>
            <w:tcW w:type="dxa" w:w="636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Solar-capable production at FUZE Biotech SLC facility supports 100% renewable inputs upstream of PVH's supply chain. Production-phase Scope 3 Category 1 emissions are minimized at source.</w:t>
            </w:r>
          </w:p>
        </w:tc>
      </w:tr>
      <w:tr>
        <w:tc>
          <w:tcPr>
            <w:tcW w:type="dxa" w:w="300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Eliminate hazardous chemicals</w:t>
            </w:r>
          </w:p>
        </w:tc>
        <w:tc>
          <w:tcPr>
            <w:tcW w:type="dxa" w:w="636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FUZE is PFAS-free, requires no formaldehyde-releasing crosslinkers at application, and complies with the ZDHC MRSL. It can replace incumbent antimicrobial chemistries that depend on PFAS-class water-repellent co-finishes or formaldehyde-releasing fixation agents.</w:t>
            </w:r>
          </w:p>
        </w:tc>
      </w:tr>
      <w:tr>
        <w:tc>
          <w:tcPr>
            <w:tcW w:type="dxa" w:w="300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100% closed-loop water in supply chain</w:t>
            </w:r>
          </w:p>
        </w:tc>
        <w:tc>
          <w:tcPr>
            <w:tcW w:type="dxa" w:w="636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Non-leaching mechanism: FUZE does not contribute to wash effluent metallic load during use phase, eliminating a pathway that incumbent silver-ion finishes impose. Production-stage water is contained in the carrier itself (no process effluent).</w:t>
            </w:r>
          </w:p>
        </w:tc>
      </w:tr>
      <w:tr>
        <w:tc>
          <w:tcPr>
            <w:tcW w:type="dxa" w:w="300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Source 100% sustainable materials</w:t>
            </w:r>
          </w:p>
        </w:tc>
        <w:tc>
          <w:tcPr>
            <w:tcW w:type="dxa" w:w="636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FUZE feedstock is recovered metallic content from recycled electronics — a closed-loop with the e-waste recovery supply chain. No virgin metal mining inputs.</w:t>
            </w:r>
          </w:p>
        </w:tc>
      </w:tr>
      <w:tr>
        <w:tc>
          <w:tcPr>
            <w:tcW w:type="dxa" w:w="300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bCs/>
                <w:color w:val="374151"/>
                <w:sz w:val="20"/>
                <w:szCs w:val="20"/>
              </w:rPr>
              <w:t xml:space="preserve">Cradle to Cradle product circularity</w:t>
            </w:r>
          </w:p>
        </w:tc>
        <w:tc>
          <w:tcPr>
            <w:tcW w:type="dxa" w:w="6360"/>
            <w:tcBorders>
              <w:top w:val="single" w:color="CCD2D4" w:sz="4"/>
              <w:left w:val="single" w:color="CCD2D4" w:sz="4"/>
              <w:bottom w:val="single" w:color="CCD2D4" w:sz="4"/>
              <w:right w:val="single" w:color="CCD2D4" w:sz="4"/>
            </w:tcBorders>
            <w:tcMar>
              <w:top w:type="dxa" w:w="100"/>
              <w:left w:type="dxa" w:w="140"/>
              <w:bottom w:type="dxa" w:w="100"/>
              <w:right w:type="dxa" w:w="140"/>
            </w:tcMar>
          </w:tcPr>
          <w:p>
            <w:r>
              <w:rPr>
                <w:rFonts w:ascii="Arial" w:cs="Arial" w:eastAsia="Arial" w:hAnsi="Arial"/>
                <w:b w:val="false"/>
                <w:bCs w:val="false"/>
                <w:color w:val="374151"/>
                <w:sz w:val="20"/>
                <w:szCs w:val="20"/>
              </w:rPr>
              <w:t xml:space="preserve">FUZE preserves both mechanical and chemical recyclability of treated fibers. Treated articles can re-enter PVH circularity programs without contamination of recovered fiber streams.</w:t>
            </w:r>
          </w:p>
        </w:tc>
      </w:tr>
      <w:tr>
        <w:tc>
          <w:tcPr>
            <w:tcW w:type="dxa" w:w="300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bCs/>
                <w:color w:val="374151"/>
                <w:sz w:val="20"/>
                <w:szCs w:val="20"/>
              </w:rPr>
              <w:t xml:space="preserve">Reduce GHG emissions (Scope 1, 2, 3)</w:t>
            </w:r>
          </w:p>
        </w:tc>
        <w:tc>
          <w:tcPr>
            <w:tcW w:type="dxa" w:w="6360"/>
            <w:tcBorders>
              <w:top w:val="single" w:color="CCD2D4" w:sz="4"/>
              <w:left w:val="single" w:color="CCD2D4" w:sz="4"/>
              <w:bottom w:val="single" w:color="CCD2D4" w:sz="4"/>
              <w:right w:val="single" w:color="CCD2D4" w:sz="4"/>
            </w:tcBorders>
            <w:shd w:fill="F4F6F7" w:val="clear"/>
            <w:tcMar>
              <w:top w:type="dxa" w:w="100"/>
              <w:left w:type="dxa" w:w="140"/>
              <w:bottom w:type="dxa" w:w="100"/>
              <w:right w:type="dxa" w:w="140"/>
            </w:tcMar>
          </w:tcPr>
          <w:p>
            <w:r>
              <w:rPr>
                <w:rFonts w:ascii="Arial" w:cs="Arial" w:eastAsia="Arial" w:hAnsi="Arial"/>
                <w:b w:val="false"/>
                <w:bCs w:val="false"/>
                <w:color w:val="374151"/>
                <w:sz w:val="20"/>
                <w:szCs w:val="20"/>
              </w:rPr>
              <w:t xml:space="preserve">Use-phase: extended garment life through antimicrobial protection translates to a measurable reduction in lifetime garment count per consumer wear-year. Reduced wash frequency (suggested by hospitality/healthcare deployments) further reduces use-phase energy.</w:t>
            </w:r>
          </w:p>
        </w:tc>
      </w:tr>
    </w:tbl>
    <w:p>
      <w:pPr>
        <w:spacing w:after="240"/>
      </w:pPr>
    </w:p>
    <w:p>
      <w:r>
        <w:br w:type="page"/>
      </w:r>
    </w:p>
    <w:p>
      <w:pPr>
        <w:pStyle w:val="Heading1"/>
        <w:spacing w:after="200" w:before="320"/>
      </w:pPr>
      <w:r>
        <w:rPr>
          <w:rFonts w:ascii="Arial" w:cs="Arial" w:eastAsia="Arial" w:hAnsi="Arial"/>
          <w:b/>
          <w:bCs/>
          <w:color w:val="0A2A33"/>
          <w:sz w:val="32"/>
          <w:szCs w:val="32"/>
        </w:rPr>
        <w:t xml:space="preserve">10. Conclusion and Next Steps</w:t>
      </w:r>
    </w:p>
    <w:p>
      <w:pPr>
        <w:spacing w:after="120"/>
      </w:pPr>
      <w:r>
        <w:rPr>
          <w:rFonts w:ascii="Arial" w:cs="Arial" w:eastAsia="Arial" w:hAnsi="Arial"/>
          <w:b w:val="false"/>
          <w:bCs w:val="false"/>
          <w:i w:val="false"/>
          <w:iCs w:val="false"/>
          <w:color w:val="374151"/>
          <w:sz w:val="22"/>
          <w:szCs w:val="22"/>
        </w:rPr>
        <w:t xml:space="preserve">FUZE is a non-leaching, contact-kill antimicrobial textile treatment that is materially differentiated from incumbent silver-ion, silver-chloride, and QAC chemistries on three dimensions that matter for PVH:</w:t>
      </w:r>
    </w:p>
    <w:p>
      <w:pPr>
        <w:pStyle w:val="ListParagraph"/>
        <w:numPr>
          <w:ilvl w:val="0"/>
          <w:numId w:val="2"/>
        </w:numPr>
        <w:spacing w:after="80"/>
      </w:pPr>
      <w:r>
        <w:rPr>
          <w:rFonts w:ascii="Arial" w:cs="Arial" w:eastAsia="Arial" w:hAnsi="Arial"/>
          <w:color w:val="374151"/>
          <w:sz w:val="22"/>
          <w:szCs w:val="22"/>
        </w:rPr>
        <w:t xml:space="preserve">Active loading on fabric is 50–500× lower than incumbents at equivalent or superior antimicrobial performance, driving a proportional reduction in feedstock demand and downstream environmental release.</w:t>
      </w:r>
    </w:p>
    <w:p>
      <w:pPr>
        <w:pStyle w:val="ListParagraph"/>
        <w:numPr>
          <w:ilvl w:val="0"/>
          <w:numId w:val="2"/>
        </w:numPr>
        <w:spacing w:after="80"/>
      </w:pPr>
      <w:r>
        <w:rPr>
          <w:rFonts w:ascii="Arial" w:cs="Arial" w:eastAsia="Arial" w:hAnsi="Arial"/>
          <w:color w:val="374151"/>
          <w:sz w:val="22"/>
          <w:szCs w:val="22"/>
        </w:rPr>
        <w:t xml:space="preserve">Wastewater impact is materially lower across both application and use phases — non-leaching by design, eliminating the wash-out pathway that incumbent finishes impose.</w:t>
      </w:r>
    </w:p>
    <w:p>
      <w:pPr>
        <w:pStyle w:val="ListParagraph"/>
        <w:numPr>
          <w:ilvl w:val="0"/>
          <w:numId w:val="2"/>
        </w:numPr>
        <w:spacing w:after="80"/>
      </w:pPr>
      <w:r>
        <w:rPr>
          <w:rFonts w:ascii="Arial" w:cs="Arial" w:eastAsia="Arial" w:hAnsi="Arial"/>
          <w:color w:val="374151"/>
          <w:sz w:val="22"/>
          <w:szCs w:val="22"/>
        </w:rPr>
        <w:t xml:space="preserve">Compatible with PVH's stated Forward Fashion commitments across renewable energy, hazardous chemistry elimination, closed-loop water, sustainable materials, circularity, and GHG emissions.</w:t>
      </w:r>
    </w:p>
    <w:p>
      <w:pPr>
        <w:spacing w:after="120"/>
      </w:pPr>
      <w:r>
        <w:rPr>
          <w:rFonts w:ascii="Arial" w:cs="Arial" w:eastAsia="Arial" w:hAnsi="Arial"/>
          <w:b w:val="false"/>
          <w:bCs w:val="false"/>
          <w:i w:val="false"/>
          <w:iCs w:val="false"/>
          <w:color w:val="374151"/>
          <w:sz w:val="22"/>
          <w:szCs w:val="22"/>
        </w:rPr>
        <w:t xml:space="preserve">Recommended next steps for PVH evaluation:</w:t>
      </w:r>
    </w:p>
    <w:p>
      <w:pPr>
        <w:pStyle w:val="ListParagraph"/>
        <w:numPr>
          <w:ilvl w:val="0"/>
          <w:numId w:val="2"/>
        </w:numPr>
        <w:spacing w:after="80"/>
      </w:pPr>
      <w:r>
        <w:rPr>
          <w:rFonts w:ascii="Arial" w:cs="Arial" w:eastAsia="Arial" w:hAnsi="Arial"/>
          <w:color w:val="374151"/>
          <w:sz w:val="22"/>
          <w:szCs w:val="22"/>
        </w:rPr>
        <w:t xml:space="preserve">Joint pilot study on a PVH brand product (Calvin Klein performance, Tommy Hilfiger workwear, or IZOD hospitality line) — controlled comparison of FUZE F2 against incumbent finish on durability, wash effluent profile, and use-phase wear data.</w:t>
      </w:r>
    </w:p>
    <w:p>
      <w:pPr>
        <w:pStyle w:val="ListParagraph"/>
        <w:numPr>
          <w:ilvl w:val="0"/>
          <w:numId w:val="2"/>
        </w:numPr>
        <w:spacing w:after="80"/>
      </w:pPr>
      <w:r>
        <w:rPr>
          <w:rFonts w:ascii="Arial" w:cs="Arial" w:eastAsia="Arial" w:hAnsi="Arial"/>
          <w:color w:val="374151"/>
          <w:sz w:val="22"/>
          <w:szCs w:val="22"/>
        </w:rPr>
        <w:t xml:space="preserve">CIL (Conformance / Restricted Substance audit) review of FUZE substance documentation against PVH's brand-specific RSL requirements.</w:t>
      </w:r>
    </w:p>
    <w:p>
      <w:pPr>
        <w:pStyle w:val="ListParagraph"/>
        <w:numPr>
          <w:ilvl w:val="0"/>
          <w:numId w:val="2"/>
        </w:numPr>
        <w:spacing w:after="80"/>
      </w:pPr>
      <w:r>
        <w:rPr>
          <w:rFonts w:ascii="Arial" w:cs="Arial" w:eastAsia="Arial" w:hAnsi="Arial"/>
          <w:color w:val="374151"/>
          <w:sz w:val="22"/>
          <w:szCs w:val="22"/>
        </w:rPr>
        <w:t xml:space="preserve">Site visit and process review at FUZE Biotech Salt Lake City production facility to validate Stage 1 and Stage 3 process claims independently.</w:t>
      </w:r>
    </w:p>
    <w:p>
      <w:pPr>
        <w:pStyle w:val="ListParagraph"/>
        <w:numPr>
          <w:ilvl w:val="0"/>
          <w:numId w:val="2"/>
        </w:numPr>
        <w:spacing w:after="80"/>
      </w:pPr>
      <w:r>
        <w:rPr>
          <w:rFonts w:ascii="Arial" w:cs="Arial" w:eastAsia="Arial" w:hAnsi="Arial"/>
          <w:color w:val="374151"/>
          <w:sz w:val="22"/>
          <w:szCs w:val="22"/>
        </w:rPr>
        <w:t xml:space="preserve">Joint commercial discussion on volume, pricing, application support, and supply commitments for PVH-brand-scale deployments.</w:t>
      </w:r>
    </w:p>
    <w:p>
      <w:pPr>
        <w:spacing w:after="120"/>
      </w:pPr>
      <w:r>
        <w:rPr>
          <w:rFonts w:ascii="Arial" w:cs="Arial" w:eastAsia="Arial" w:hAnsi="Arial"/>
          <w:b w:val="false"/>
          <w:bCs w:val="false"/>
          <w:i w:val="false"/>
          <w:iCs w:val="false"/>
          <w:color w:val="374151"/>
          <w:sz w:val="22"/>
          <w:szCs w:val="22"/>
        </w:rPr>
        <w:t xml:space="preserve"/>
      </w:r>
    </w:p>
    <w:p>
      <w:pPr>
        <w:spacing w:after="120"/>
      </w:pPr>
      <w:r>
        <w:rPr>
          <w:rFonts w:ascii="Arial" w:cs="Arial" w:eastAsia="Arial" w:hAnsi="Arial"/>
          <w:b w:val="false"/>
          <w:bCs w:val="false"/>
          <w:i/>
          <w:iCs/>
          <w:color w:val="374151"/>
          <w:sz w:val="22"/>
          <w:szCs w:val="22"/>
        </w:rPr>
        <w:t xml:space="preserve">FUZE Biotech is prepared to share underlying test reports (AATCC 100, ASTM E2149, ISO 20743, OEKO-TEX, bluesign®, EPA registration documentation) on request and to support PVH's evaluation with on-site application engineering and process validation.</w:t>
      </w:r>
    </w:p>
    <w:p>
      <w:r>
        <w:br w:type="page"/>
      </w:r>
    </w:p>
    <w:p>
      <w:pPr>
        <w:pStyle w:val="Heading1"/>
        <w:spacing w:after="200" w:before="320"/>
      </w:pPr>
      <w:r>
        <w:rPr>
          <w:rFonts w:ascii="Arial" w:cs="Arial" w:eastAsia="Arial" w:hAnsi="Arial"/>
          <w:b/>
          <w:bCs/>
          <w:color w:val="0A2A33"/>
          <w:sz w:val="32"/>
          <w:szCs w:val="32"/>
        </w:rPr>
        <w:t xml:space="preserve">Appendix A — Methodology Note on Antimicrobial Testing</w:t>
      </w:r>
    </w:p>
    <w:p>
      <w:pPr>
        <w:spacing w:after="120"/>
      </w:pPr>
      <w:r>
        <w:rPr>
          <w:rFonts w:ascii="Arial" w:cs="Arial" w:eastAsia="Arial" w:hAnsi="Arial"/>
          <w:b w:val="false"/>
          <w:bCs w:val="false"/>
          <w:i w:val="false"/>
          <w:iCs w:val="false"/>
          <w:color w:val="374151"/>
          <w:sz w:val="22"/>
          <w:szCs w:val="22"/>
        </w:rPr>
        <w:t xml:space="preserve">Brand evaluation teams often ask why FUZE primary efficacy testing is reported under ASTM E2149 rather than AATCC 100 for the F3 and F4 tiers. This note explains the distinction and the rationale.</w:t>
      </w:r>
    </w:p>
    <w:p>
      <w:pPr>
        <w:pStyle w:val="Heading3"/>
        <w:spacing w:after="120" w:before="200"/>
      </w:pPr>
      <w:r>
        <w:rPr>
          <w:rFonts w:ascii="Arial" w:cs="Arial" w:eastAsia="Arial" w:hAnsi="Arial"/>
          <w:b/>
          <w:bCs/>
          <w:color w:val="0A2A33"/>
          <w:sz w:val="23"/>
          <w:szCs w:val="23"/>
        </w:rPr>
        <w:t xml:space="preserve">ASTM E2149 — Dynamic Contact</w:t>
      </w:r>
    </w:p>
    <w:p>
      <w:pPr>
        <w:spacing w:after="120"/>
      </w:pPr>
      <w:r>
        <w:rPr>
          <w:rFonts w:ascii="Arial" w:cs="Arial" w:eastAsia="Arial" w:hAnsi="Arial"/>
          <w:b w:val="false"/>
          <w:bCs w:val="false"/>
          <w:i w:val="false"/>
          <w:iCs w:val="false"/>
          <w:color w:val="374151"/>
          <w:sz w:val="22"/>
          <w:szCs w:val="22"/>
        </w:rPr>
        <w:t xml:space="preserve">ASTM E2149 immerses a treated fabric coupon in a buffered bacterial suspension under shaking. Reduction is measured after a defined contact period. The test rewards direct physical contact between the bacterial cell and the treated fiber surface. It was specifically designed for non-leaching antimicrobial chemistries — chemistries where the antimicrobial agent must touch the cell to kill it. This is exactly FUZE's mechanism.</w:t>
      </w:r>
    </w:p>
    <w:p>
      <w:pPr>
        <w:pStyle w:val="Heading3"/>
        <w:spacing w:after="120" w:before="200"/>
      </w:pPr>
      <w:r>
        <w:rPr>
          <w:rFonts w:ascii="Arial" w:cs="Arial" w:eastAsia="Arial" w:hAnsi="Arial"/>
          <w:b/>
          <w:bCs/>
          <w:color w:val="0A2A33"/>
          <w:sz w:val="23"/>
          <w:szCs w:val="23"/>
        </w:rPr>
        <w:t xml:space="preserve">AATCC 100 — Layered Antibacterial Assessment</w:t>
      </w:r>
    </w:p>
    <w:p>
      <w:pPr>
        <w:spacing w:after="120"/>
      </w:pPr>
      <w:r>
        <w:rPr>
          <w:rFonts w:ascii="Arial" w:cs="Arial" w:eastAsia="Arial" w:hAnsi="Arial"/>
          <w:b w:val="false"/>
          <w:bCs w:val="false"/>
          <w:i w:val="false"/>
          <w:iCs w:val="false"/>
          <w:color w:val="374151"/>
          <w:sz w:val="22"/>
          <w:szCs w:val="22"/>
        </w:rPr>
        <w:t xml:space="preserve">AATCC 100 stacks multiple fabric layers around an inoculated coupon and measures surviving colony-forming units after a contact period. It was designed for leaching antimicrobials — chemistries that release ions into the surrounding moisture and kill bacteria via that ion field. The layered geometry helps leaching chemistries: released ions saturate the inter-layer space.</w:t>
      </w:r>
    </w:p>
    <w:p>
      <w:pPr>
        <w:pStyle w:val="Heading3"/>
        <w:spacing w:after="120" w:before="200"/>
      </w:pPr>
      <w:r>
        <w:rPr>
          <w:rFonts w:ascii="Arial" w:cs="Arial" w:eastAsia="Arial" w:hAnsi="Arial"/>
          <w:b/>
          <w:bCs/>
          <w:color w:val="0A2A33"/>
          <w:sz w:val="23"/>
          <w:szCs w:val="23"/>
        </w:rPr>
        <w:t xml:space="preserve">Why The Difference Matters</w:t>
      </w:r>
    </w:p>
    <w:p>
      <w:pPr>
        <w:spacing w:after="120"/>
      </w:pPr>
      <w:r>
        <w:rPr>
          <w:rFonts w:ascii="Arial" w:cs="Arial" w:eastAsia="Arial" w:hAnsi="Arial"/>
          <w:b w:val="false"/>
          <w:bCs w:val="false"/>
          <w:i w:val="false"/>
          <w:iCs w:val="false"/>
          <w:color w:val="374151"/>
          <w:sz w:val="22"/>
          <w:szCs w:val="22"/>
        </w:rPr>
        <w:t xml:space="preserve">AATCC 100 advantages leaching chemistries by its very geometry. It is not a level playing field for non-leaching antimicrobials like FUZE — bacteria in the inter-layer voids between coupons can grow before they physically contact a treated fiber surface, and there is no ion field bridging the voids in a non-leaching system. FUZE passes AATCC 100 at higher tiers (F1 and F2) where the metamaterial density is sufficient to overcome the test geometry. For F3 and F4, the primary efficacy test is ASTM E2149.</w:t>
      </w:r>
    </w:p>
    <w:p>
      <w:pPr>
        <w:pStyle w:val="Heading3"/>
        <w:spacing w:after="120" w:before="200"/>
      </w:pPr>
      <w:r>
        <w:rPr>
          <w:rFonts w:ascii="Arial" w:cs="Arial" w:eastAsia="Arial" w:hAnsi="Arial"/>
          <w:b/>
          <w:bCs/>
          <w:color w:val="0A2A33"/>
          <w:sz w:val="23"/>
          <w:szCs w:val="23"/>
        </w:rPr>
        <w:t xml:space="preserve">What This Means for Buyer Audits</w:t>
      </w:r>
    </w:p>
    <w:p>
      <w:pPr>
        <w:spacing w:after="120"/>
      </w:pPr>
      <w:r>
        <w:rPr>
          <w:rFonts w:ascii="Arial" w:cs="Arial" w:eastAsia="Arial" w:hAnsi="Arial"/>
          <w:b w:val="false"/>
          <w:bCs w:val="false"/>
          <w:i w:val="false"/>
          <w:iCs w:val="false"/>
          <w:color w:val="374151"/>
          <w:sz w:val="22"/>
          <w:szCs w:val="22"/>
        </w:rPr>
        <w:t xml:space="preserve">Brand sustainability and quality teams reviewing FUZE test data should expect to see ASTM E2149 as the primary durability and efficacy test across all four tiers. AATCC 100 reports are provided alongside as a complementary view at F1 and F2. This is the correct test selection for non-leaching contact-kill chemistry and aligns with the test method ASTM specifically designed for this class of antimicrobial.</w:t>
      </w:r>
    </w:p>
    <w:p>
      <w:pPr>
        <w:pStyle w:val="Heading1"/>
        <w:spacing w:after="200" w:before="320"/>
      </w:pPr>
      <w:r>
        <w:rPr>
          <w:rFonts w:ascii="Arial" w:cs="Arial" w:eastAsia="Arial" w:hAnsi="Arial"/>
          <w:b/>
          <w:bCs/>
          <w:color w:val="0A2A33"/>
          <w:sz w:val="32"/>
          <w:szCs w:val="32"/>
        </w:rPr>
        <w:t xml:space="preserve">Appendix B — Glossary</w:t>
      </w:r>
    </w:p>
    <w:p>
      <w:pPr>
        <w:spacing w:after="120"/>
      </w:pPr>
      <w:r>
        <w:rPr>
          <w:rFonts w:ascii="Arial" w:cs="Arial" w:eastAsia="Arial" w:hAnsi="Arial"/>
          <w:b w:val="false"/>
          <w:bCs w:val="false"/>
          <w:i w:val="false"/>
          <w:iCs w:val="false"/>
          <w:color w:val="374151"/>
          <w:sz w:val="22"/>
          <w:szCs w:val="22"/>
        </w:rPr>
        <w:t xml:space="preserve">FUZE: brand name for the proprietary antimicrobial textile treatment. Refers to the stock liquid (30 mg/L active metamaterial in ultrapure DI water carrier) and to the four product tiers (F1, F2, F3, F4).</w:t>
      </w:r>
    </w:p>
    <w:p>
      <w:pPr>
        <w:spacing w:after="120"/>
      </w:pPr>
      <w:r>
        <w:rPr>
          <w:rFonts w:ascii="Arial" w:cs="Arial" w:eastAsia="Arial" w:hAnsi="Arial"/>
          <w:b w:val="false"/>
          <w:bCs w:val="false"/>
          <w:i w:val="false"/>
          <w:iCs w:val="false"/>
          <w:color w:val="374151"/>
          <w:sz w:val="22"/>
          <w:szCs w:val="22"/>
        </w:rPr>
        <w:t xml:space="preserve">Metamaterial: term used throughout FUZE communications for the active ingredient. A high-density allotrope produced by liquid laser ablation of recycled metallic feedstock. Used in place of chemical-name descriptors in all brand-facing and customer-facing communications.</w:t>
      </w:r>
    </w:p>
    <w:p>
      <w:pPr>
        <w:spacing w:after="120"/>
      </w:pPr>
      <w:r>
        <w:rPr>
          <w:rFonts w:ascii="Arial" w:cs="Arial" w:eastAsia="Arial" w:hAnsi="Arial"/>
          <w:b w:val="false"/>
          <w:bCs w:val="false"/>
          <w:i w:val="false"/>
          <w:iCs w:val="false"/>
          <w:color w:val="374151"/>
          <w:sz w:val="22"/>
          <w:szCs w:val="22"/>
        </w:rPr>
        <w:t xml:space="preserve">F1 / F2 / F3 / F4: the four product tiers, corresponding to on-fabric dose rates of 1.0 / 0.75 / 0.5 / 0.25 mg/kg and to wash durability ratings of 100 / 75 / 50 / 25 industrial wash cycles.</w:t>
      </w:r>
    </w:p>
    <w:p>
      <w:pPr>
        <w:spacing w:after="120"/>
      </w:pPr>
      <w:r>
        <w:rPr>
          <w:rFonts w:ascii="Arial" w:cs="Arial" w:eastAsia="Arial" w:hAnsi="Arial"/>
          <w:b w:val="false"/>
          <w:bCs w:val="false"/>
          <w:i w:val="false"/>
          <w:iCs w:val="false"/>
          <w:color w:val="374151"/>
          <w:sz w:val="22"/>
          <w:szCs w:val="22"/>
        </w:rPr>
        <w:t xml:space="preserve">OWB (on weight of bath): textile-finishing convention expressing the mass of a finish chemical as a percentage of the total bath mass.</w:t>
      </w:r>
    </w:p>
    <w:p>
      <w:pPr>
        <w:spacing w:after="120"/>
      </w:pPr>
      <w:r>
        <w:rPr>
          <w:rFonts w:ascii="Arial" w:cs="Arial" w:eastAsia="Arial" w:hAnsi="Arial"/>
          <w:b w:val="false"/>
          <w:bCs w:val="false"/>
          <w:i w:val="false"/>
          <w:iCs w:val="false"/>
          <w:color w:val="374151"/>
          <w:sz w:val="22"/>
          <w:szCs w:val="22"/>
        </w:rPr>
        <w:t xml:space="preserve">OWG (on weight of goods): the dose of finish chemical as a percentage of the fabric mass — FUZE tiers are expressed in mg/kg, equivalent to OWG percentages of 0.000025% to 0.0001%.</w:t>
      </w:r>
    </w:p>
    <w:p>
      <w:pPr>
        <w:spacing w:after="120"/>
      </w:pPr>
      <w:r>
        <w:rPr>
          <w:rFonts w:ascii="Arial" w:cs="Arial" w:eastAsia="Arial" w:hAnsi="Arial"/>
          <w:b w:val="false"/>
          <w:bCs w:val="false"/>
          <w:i w:val="false"/>
          <w:iCs w:val="false"/>
          <w:color w:val="374151"/>
          <w:sz w:val="22"/>
          <w:szCs w:val="22"/>
        </w:rPr>
        <w:t xml:space="preserve">Pickup percentage: in pad-dry-cure application, the ratio of liquid retained by the fabric after the padder squeeze, relative to the fabric's dry mass. Typically 50–80% for woven and knit substrates.</w:t>
      </w:r>
    </w:p>
    <w:p>
      <w:pPr>
        <w:spacing w:after="120"/>
      </w:pPr>
      <w:r>
        <w:rPr>
          <w:rFonts w:ascii="Arial" w:cs="Arial" w:eastAsia="Arial" w:hAnsi="Arial"/>
          <w:b w:val="false"/>
          <w:bCs w:val="false"/>
          <w:i w:val="false"/>
          <w:iCs w:val="false"/>
          <w:color w:val="374151"/>
          <w:sz w:val="22"/>
          <w:szCs w:val="22"/>
        </w:rPr>
        <w:t xml:space="preserve">Cradle-to-grave: an LCA system boundary that includes every life-cycle stage from raw material extraction through end-of-life disposition, with no exclusions.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74151"/>
        <w:sz w:val="16"/>
        <w:szCs w:val="16"/>
      </w:rPr>
      <w:t xml:space="preserve">FUZE Biotech · Confidential</w:t>
    </w:r>
    <w:r>
      <w:rPr>
        <w:rFonts w:ascii="Arial" w:cs="Arial" w:eastAsia="Arial" w:hAnsi="Arial"/>
        <w:color w:val="374151"/>
        <w:sz w:val="16"/>
        <w:szCs w:val="16"/>
      </w:rPr>
      <w:t xml:space="preserve">	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374151"/>
        <w:sz w:val="16"/>
        <w:szCs w:val="16"/>
      </w:rPr>
      <w:t xml:space="preserve">FUZE Antimicrobial Treatment · Life Cycle Analysis · Prepared for PVH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A2A33"/>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00B4C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A2A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FUZE Antimicrobial Treatment — Life Cycle Analysis</dc:title>
  <dc:creator>FUZE Biotech</dc:creator>
  <dc:description>Cradle-to-grave LCA prepared for PVH Corp.</dc:description>
  <cp:lastModifiedBy>Un-named</cp:lastModifiedBy>
  <cp:revision>1</cp:revision>
  <dcterms:created xsi:type="dcterms:W3CDTF">2026-05-18T16:12:28.470Z</dcterms:created>
  <dcterms:modified xsi:type="dcterms:W3CDTF">2026-05-18T16:12:28.470Z</dcterms:modified>
</cp:coreProperties>
</file>

<file path=docProps/custom.xml><?xml version="1.0" encoding="utf-8"?>
<Properties xmlns="http://schemas.openxmlformats.org/officeDocument/2006/custom-properties" xmlns:vt="http://schemas.openxmlformats.org/officeDocument/2006/docPropsVTypes"/>
</file>