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7F1D1D"/>
          <w:sz w:val="26"/>
        </w:rPr>
        <w:t>COMPETITIVE INTELLIGENCE</w:t>
      </w:r>
    </w:p>
    <w:p>
      <w:pPr>
        <w:jc w:val="center"/>
      </w:pPr>
      <w:r>
        <w:rPr>
          <w:rFonts w:ascii="Arial" w:hAnsi="Arial"/>
          <w:b/>
          <w:color w:val="0F172A"/>
          <w:sz w:val="52"/>
        </w:rPr>
        <w:t>The True Cost of Traditional</w:t>
        <w:br/>
        <w:t>Antimicrobial Textile Treatments</w:t>
      </w:r>
    </w:p>
    <w:p/>
    <w:p>
      <w:pPr>
        <w:jc w:val="center"/>
      </w:pPr>
      <w:r>
        <w:rPr>
          <w:rFonts w:ascii="Arial" w:hAnsi="Arial"/>
          <w:color w:val="64748B"/>
          <w:sz w:val="24"/>
        </w:rPr>
        <w:t>Manufacturing Processes, Environmental Impact, Health Hazards,</w:t>
        <w:br/>
        <w:t>Regulatory Risk, EPA Registration Genealogy &amp; Wastewater Remediation</w:t>
      </w:r>
    </w:p>
    <w:p>
      <w:pPr>
        <w:jc w:val="center"/>
      </w:pPr>
      <w:r>
        <w:rPr>
          <w:rFonts w:ascii="Arial" w:hAnsi="Arial"/>
          <w:b/>
          <w:color w:val="7F1D1D"/>
          <w:sz w:val="22"/>
        </w:rPr>
        <w:t>Stage 1: Traditional Chemistry Analysis  |  Version 2.0</w:t>
      </w:r>
    </w:p>
    <w:p/>
    <w:p/>
    <w:p/>
    <w:p>
      <w:pPr>
        <w:jc w:val="center"/>
      </w:pPr>
      <w:r>
        <w:rPr>
          <w:rFonts w:ascii="Arial" w:hAnsi="Arial"/>
          <w:color w:val="94A3B8"/>
          <w:sz w:val="18"/>
        </w:rPr>
        <w:t>Prepared by FUZE Biotech  |  March 2026  |  STRICTLY CONFIDENTIAL</w:t>
      </w:r>
    </w:p>
    <w:p>
      <w:pPr>
        <w:jc w:val="center"/>
      </w:pPr>
      <w:r>
        <w:rPr>
          <w:rFonts w:ascii="Arial" w:hAnsi="Arial"/>
          <w:color w:val="64748B"/>
          <w:sz w:val="18"/>
        </w:rPr>
        <w:t>Targets: Silver Chloride/Zeolite, Quats, Copper, Zinc Pyrithione, HeiQ, Noble Biometal</w:t>
      </w:r>
    </w:p>
    <w:p>
      <w:r>
        <w:br w:type="page"/>
      </w:r>
    </w:p>
    <w:p>
      <w:pPr>
        <w:pStyle w:val="Heading1"/>
      </w:pPr>
      <w:r>
        <w:t>Executive Summary</w:t>
      </w:r>
    </w:p>
    <w:p>
      <w:r>
        <w:t>This report provides a comprehensive technical and regulatory analysis of the dominant antimicrobial treatment chemistries used in the global textile industry. Each technology is evaluated across manufacturing process, application requirements, human health hazards, environmental toxicity, regulatory burden, wastewater remediation costs, and EPA registration lineage. The analysis draws from EPA filings, peer-reviewed research, manufacturer safety data sheets, court rulings, and OEKO-TEX standards documentation.</w:t>
      </w:r>
    </w:p>
    <w:p>
      <w:r>
        <w:t>The central finding: every competitor relies on EPA registrations that trace back to data from the 1970s-1980s, amended and extended for decades without undergoing the rigorous modern safety testing that FUZE completed under PRIA 6. Approximately 106 silver antimicrobial products were registered before 1996 and have never been subjected to modern chronic toxicity, reproductive toxicity, neurotoxicity, or environmental persistence studies.</w:t>
      </w:r>
    </w:p>
    <w:p>
      <w:pPr>
        <w:pStyle w:val="Heading2"/>
      </w:pPr>
      <w:r>
        <w:t>Key Findings at a Glance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584"/>
            <w:shd w:fill="0D473B" w:val="clear"/>
          </w:tcPr>
          <w:p>
            <w:r/>
            <w:r>
              <w:rPr>
                <w:rFonts w:ascii="Arial" w:hAnsi="Arial"/>
                <w:b/>
                <w:color w:val="FFFFFF"/>
                <w:sz w:val="16"/>
              </w:rPr>
              <w:t>Chemistry</w:t>
            </w:r>
          </w:p>
        </w:tc>
        <w:tc>
          <w:tcPr>
            <w:tcW w:type="dxa" w:w="1296"/>
            <w:shd w:fill="0D473B" w:val="clear"/>
          </w:tcPr>
          <w:p>
            <w:r/>
            <w:r>
              <w:rPr>
                <w:rFonts w:ascii="Arial" w:hAnsi="Arial"/>
                <w:b/>
                <w:color w:val="FFFFFF"/>
                <w:sz w:val="16"/>
              </w:rPr>
              <w:t>Leaching</w:t>
            </w:r>
          </w:p>
        </w:tc>
        <w:tc>
          <w:tcPr>
            <w:tcW w:type="dxa" w:w="1440"/>
            <w:shd w:fill="0D473B" w:val="clear"/>
          </w:tcPr>
          <w:p>
            <w:r/>
            <w:r>
              <w:rPr>
                <w:rFonts w:ascii="Arial" w:hAnsi="Arial"/>
                <w:b/>
                <w:color w:val="FFFFFF"/>
                <w:sz w:val="16"/>
              </w:rPr>
              <w:t>Aquatic Toxicity</w:t>
            </w:r>
          </w:p>
        </w:tc>
        <w:tc>
          <w:tcPr>
            <w:tcW w:type="dxa" w:w="1440"/>
            <w:shd w:fill="0D473B" w:val="clear"/>
          </w:tcPr>
          <w:p>
            <w:r/>
            <w:r>
              <w:rPr>
                <w:rFonts w:ascii="Arial" w:hAnsi="Arial"/>
                <w:b/>
                <w:color w:val="FFFFFF"/>
                <w:sz w:val="16"/>
              </w:rPr>
              <w:t>Worker Risk</w:t>
            </w:r>
          </w:p>
        </w:tc>
        <w:tc>
          <w:tcPr>
            <w:tcW w:type="dxa" w:w="1296"/>
            <w:shd w:fill="0D473B" w:val="clear"/>
          </w:tcPr>
          <w:p>
            <w:r/>
            <w:r>
              <w:rPr>
                <w:rFonts w:ascii="Arial" w:hAnsi="Arial"/>
                <w:b/>
                <w:color w:val="FFFFFF"/>
                <w:sz w:val="16"/>
              </w:rPr>
              <w:t>Binders</w:t>
            </w:r>
          </w:p>
        </w:tc>
        <w:tc>
          <w:tcPr>
            <w:tcW w:type="dxa" w:w="1440"/>
            <w:shd w:fill="0D473B" w:val="clear"/>
          </w:tcPr>
          <w:p>
            <w:r/>
            <w:r>
              <w:rPr>
                <w:rFonts w:ascii="Arial" w:hAnsi="Arial"/>
                <w:b/>
                <w:color w:val="FFFFFF"/>
                <w:sz w:val="16"/>
              </w:rPr>
              <w:t>EPA Status</w:t>
            </w:r>
          </w:p>
        </w:tc>
      </w:tr>
      <w:tr>
        <w:tc>
          <w:tcPr>
            <w:tcW w:type="dxa" w:w="1584"/>
          </w:tcPr>
          <w:p>
            <w:r/>
            <w:r>
              <w:rPr>
                <w:rFonts w:ascii="Arial" w:hAnsi="Arial"/>
                <w:sz w:val="16"/>
              </w:rPr>
              <w:t>Silver Chloride/Zeolite</w:t>
            </w:r>
          </w:p>
        </w:tc>
        <w:tc>
          <w:tcPr>
            <w:tcW w:type="dxa" w:w="1296"/>
          </w:tcPr>
          <w:p>
            <w:r/>
            <w:r>
              <w:rPr>
                <w:rFonts w:ascii="Arial" w:hAnsi="Arial"/>
                <w:sz w:val="16"/>
              </w:rPr>
              <w:t>72% after 10 washes</w:t>
            </w:r>
          </w:p>
        </w:tc>
        <w:tc>
          <w:tcPr>
            <w:tcW w:type="dxa" w:w="1440"/>
          </w:tcPr>
          <w:p>
            <w:r/>
            <w:r>
              <w:rPr>
                <w:rFonts w:ascii="Arial" w:hAnsi="Arial"/>
                <w:sz w:val="16"/>
              </w:rPr>
              <w:t>1.9-5.3 ppb (EXTREME)</w:t>
            </w:r>
          </w:p>
        </w:tc>
        <w:tc>
          <w:tcPr>
            <w:tcW w:type="dxa" w:w="1440"/>
          </w:tcPr>
          <w:p>
            <w:r/>
            <w:r>
              <w:rPr>
                <w:rFonts w:ascii="Arial" w:hAnsi="Arial"/>
                <w:sz w:val="16"/>
              </w:rPr>
              <w:t>Argyria, respiratory</w:t>
            </w:r>
          </w:p>
        </w:tc>
        <w:tc>
          <w:tcPr>
            <w:tcW w:type="dxa" w:w="1296"/>
          </w:tcPr>
          <w:p>
            <w:r/>
            <w:r>
              <w:rPr>
                <w:rFonts w:ascii="Arial" w:hAnsi="Arial"/>
                <w:sz w:val="16"/>
              </w:rPr>
              <w:t>Acrylic resin 10%</w:t>
            </w:r>
          </w:p>
        </w:tc>
        <w:tc>
          <w:tcPr>
            <w:tcW w:type="dxa" w:w="1440"/>
          </w:tcPr>
          <w:p>
            <w:r/>
            <w:r>
              <w:rPr>
                <w:rFonts w:ascii="Arial" w:hAnsi="Arial"/>
                <w:sz w:val="16"/>
              </w:rPr>
              <w:t>Grandfathered 1983-84</w:t>
            </w:r>
          </w:p>
        </w:tc>
      </w:tr>
      <w:tr>
        <w:tc>
          <w:tcPr>
            <w:tcW w:type="dxa" w:w="1584"/>
            <w:shd w:fill="FEF2F2" w:val="clear"/>
          </w:tcPr>
          <w:p>
            <w:r/>
            <w:r>
              <w:rPr>
                <w:rFonts w:ascii="Arial" w:hAnsi="Arial"/>
                <w:sz w:val="16"/>
              </w:rPr>
              <w:t>Quats (Aegis)</w:t>
            </w:r>
          </w:p>
        </w:tc>
        <w:tc>
          <w:tcPr>
            <w:tcW w:type="dxa" w:w="1296"/>
            <w:shd w:fill="FEF2F2" w:val="clear"/>
          </w:tcPr>
          <w:p>
            <w:r/>
            <w:r>
              <w:rPr>
                <w:rFonts w:ascii="Arial" w:hAnsi="Arial"/>
                <w:sz w:val="16"/>
              </w:rPr>
              <w:t>55-81% per wash</w:t>
            </w:r>
          </w:p>
        </w:tc>
        <w:tc>
          <w:tcPr>
            <w:tcW w:type="dxa" w:w="1440"/>
            <w:shd w:fill="FEF2F2" w:val="clear"/>
          </w:tcPr>
          <w:p>
            <w:r/>
            <w:r>
              <w:rPr>
                <w:rFonts w:ascii="Arial" w:hAnsi="Arial"/>
                <w:sz w:val="16"/>
              </w:rPr>
              <w:t>10-14 µg/L (SEVERE)</w:t>
            </w:r>
          </w:p>
        </w:tc>
        <w:tc>
          <w:tcPr>
            <w:tcW w:type="dxa" w:w="1440"/>
            <w:shd w:fill="FEF2F2" w:val="clear"/>
          </w:tcPr>
          <w:p>
            <w:r/>
            <w:r>
              <w:rPr>
                <w:rFonts w:ascii="Arial" w:hAnsi="Arial"/>
                <w:sz w:val="16"/>
              </w:rPr>
              <w:t>Occupational asthma, COPD</w:t>
            </w:r>
          </w:p>
        </w:tc>
        <w:tc>
          <w:tcPr>
            <w:tcW w:type="dxa" w:w="1296"/>
            <w:shd w:fill="FEF2F2" w:val="clear"/>
          </w:tcPr>
          <w:p>
            <w:r/>
            <w:r>
              <w:rPr>
                <w:rFonts w:ascii="Arial" w:hAnsi="Arial"/>
                <w:sz w:val="16"/>
              </w:rPr>
              <w:t>PVA, acrylates, waxes</w:t>
            </w:r>
          </w:p>
        </w:tc>
        <w:tc>
          <w:tcPr>
            <w:tcW w:type="dxa" w:w="1440"/>
            <w:shd w:fill="FEF2F2" w:val="clear"/>
          </w:tcPr>
          <w:p>
            <w:r/>
            <w:r>
              <w:rPr>
                <w:rFonts w:ascii="Arial" w:hAnsi="Arial"/>
                <w:sz w:val="16"/>
              </w:rPr>
              <w:t>600+ registrations</w:t>
            </w:r>
          </w:p>
        </w:tc>
      </w:tr>
      <w:tr>
        <w:tc>
          <w:tcPr>
            <w:tcW w:type="dxa" w:w="1584"/>
          </w:tcPr>
          <w:p>
            <w:r/>
            <w:r>
              <w:rPr>
                <w:rFonts w:ascii="Arial" w:hAnsi="Arial"/>
                <w:sz w:val="16"/>
              </w:rPr>
              <w:t>Copper Oxide</w:t>
            </w:r>
          </w:p>
        </w:tc>
        <w:tc>
          <w:tcPr>
            <w:tcW w:type="dxa" w:w="1296"/>
          </w:tcPr>
          <w:p>
            <w:r/>
            <w:r>
              <w:rPr>
                <w:rFonts w:ascii="Arial" w:hAnsi="Arial"/>
                <w:sz w:val="16"/>
              </w:rPr>
              <w:t>Significant</w:t>
            </w:r>
          </w:p>
        </w:tc>
        <w:tc>
          <w:tcPr>
            <w:tcW w:type="dxa" w:w="1440"/>
          </w:tcPr>
          <w:p>
            <w:r/>
            <w:r>
              <w:rPr>
                <w:rFonts w:ascii="Arial" w:hAnsi="Arial"/>
                <w:sz w:val="16"/>
              </w:rPr>
              <w:t>11-39 µg/L (SEVERE)</w:t>
            </w:r>
          </w:p>
        </w:tc>
        <w:tc>
          <w:tcPr>
            <w:tcW w:type="dxa" w:w="1440"/>
          </w:tcPr>
          <w:p>
            <w:r/>
            <w:r>
              <w:rPr>
                <w:rFonts w:ascii="Arial" w:hAnsi="Arial"/>
                <w:sz w:val="16"/>
              </w:rPr>
              <w:t>Pulmonary inflammation</w:t>
            </w:r>
          </w:p>
        </w:tc>
        <w:tc>
          <w:tcPr>
            <w:tcW w:type="dxa" w:w="1296"/>
          </w:tcPr>
          <w:p>
            <w:r/>
            <w:r>
              <w:rPr>
                <w:rFonts w:ascii="Arial" w:hAnsi="Arial"/>
                <w:sz w:val="16"/>
              </w:rPr>
              <w:t>Polydopamine, pigment</w:t>
            </w:r>
          </w:p>
        </w:tc>
        <w:tc>
          <w:tcPr>
            <w:tcW w:type="dxa" w:w="1440"/>
          </w:tcPr>
          <w:p>
            <w:r/>
            <w:r>
              <w:rPr>
                <w:rFonts w:ascii="Arial" w:hAnsi="Arial"/>
                <w:sz w:val="16"/>
              </w:rPr>
              <w:t>500+ registrations</w:t>
            </w:r>
          </w:p>
        </w:tc>
      </w:tr>
      <w:tr>
        <w:tc>
          <w:tcPr>
            <w:tcW w:type="dxa" w:w="1584"/>
            <w:shd w:fill="FEF2F2" w:val="clear"/>
          </w:tcPr>
          <w:p>
            <w:r/>
            <w:r>
              <w:rPr>
                <w:rFonts w:ascii="Arial" w:hAnsi="Arial"/>
                <w:sz w:val="16"/>
              </w:rPr>
              <w:t>Zinc Pyrithione</w:t>
            </w:r>
          </w:p>
        </w:tc>
        <w:tc>
          <w:tcPr>
            <w:tcW w:type="dxa" w:w="1296"/>
            <w:shd w:fill="FEF2F2" w:val="clear"/>
          </w:tcPr>
          <w:p>
            <w:r/>
            <w:r>
              <w:rPr>
                <w:rFonts w:ascii="Arial" w:hAnsi="Arial"/>
                <w:sz w:val="16"/>
              </w:rPr>
              <w:t>Variable</w:t>
            </w:r>
          </w:p>
        </w:tc>
        <w:tc>
          <w:tcPr>
            <w:tcW w:type="dxa" w:w="1440"/>
            <w:shd w:fill="FEF2F2" w:val="clear"/>
          </w:tcPr>
          <w:p>
            <w:r/>
            <w:r>
              <w:rPr>
                <w:rFonts w:ascii="Arial" w:hAnsi="Arial"/>
                <w:sz w:val="16"/>
              </w:rPr>
              <w:t>VERY TOXIC broad</w:t>
            </w:r>
          </w:p>
        </w:tc>
        <w:tc>
          <w:tcPr>
            <w:tcW w:type="dxa" w:w="1440"/>
            <w:shd w:fill="FEF2F2" w:val="clear"/>
          </w:tcPr>
          <w:p>
            <w:r/>
            <w:r>
              <w:rPr>
                <w:rFonts w:ascii="Arial" w:hAnsi="Arial"/>
                <w:sz w:val="16"/>
              </w:rPr>
              <w:t>FATAL IF INHALED (H330)</w:t>
            </w:r>
          </w:p>
        </w:tc>
        <w:tc>
          <w:tcPr>
            <w:tcW w:type="dxa" w:w="1296"/>
            <w:shd w:fill="FEF2F2" w:val="clear"/>
          </w:tcPr>
          <w:p>
            <w:r/>
            <w:r>
              <w:rPr>
                <w:rFonts w:ascii="Arial" w:hAnsi="Arial"/>
                <w:sz w:val="16"/>
              </w:rPr>
              <w:t>Polyamine carriers</w:t>
            </w:r>
          </w:p>
        </w:tc>
        <w:tc>
          <w:tcPr>
            <w:tcW w:type="dxa" w:w="1440"/>
            <w:shd w:fill="FEF2F2" w:val="clear"/>
          </w:tcPr>
          <w:p>
            <w:r/>
            <w:r>
              <w:rPr>
                <w:rFonts w:ascii="Arial" w:hAnsi="Arial"/>
                <w:sz w:val="16"/>
              </w:rPr>
              <w:t>Under reevaluation</w:t>
            </w:r>
          </w:p>
        </w:tc>
      </w:tr>
      <w:tr>
        <w:tc>
          <w:tcPr>
            <w:tcW w:type="dxa" w:w="1584"/>
          </w:tcPr>
          <w:p>
            <w:r/>
            <w:r>
              <w:rPr>
                <w:rFonts w:ascii="Arial" w:hAnsi="Arial"/>
                <w:sz w:val="16"/>
              </w:rPr>
              <w:t>HeiQ AGS-20</w:t>
            </w:r>
          </w:p>
        </w:tc>
        <w:tc>
          <w:tcPr>
            <w:tcW w:type="dxa" w:w="1296"/>
          </w:tcPr>
          <w:p>
            <w:r/>
            <w:r>
              <w:rPr>
                <w:rFonts w:ascii="Arial" w:hAnsi="Arial"/>
                <w:sz w:val="16"/>
              </w:rPr>
              <w:t>Not disclosed</w:t>
            </w:r>
          </w:p>
        </w:tc>
        <w:tc>
          <w:tcPr>
            <w:tcW w:type="dxa" w:w="1440"/>
          </w:tcPr>
          <w:p>
            <w:r/>
            <w:r>
              <w:rPr>
                <w:rFonts w:ascii="Arial" w:hAnsi="Arial"/>
                <w:sz w:val="16"/>
              </w:rPr>
              <w:t>Nanosilver toxic</w:t>
            </w:r>
          </w:p>
        </w:tc>
        <w:tc>
          <w:tcPr>
            <w:tcW w:type="dxa" w:w="1440"/>
          </w:tcPr>
          <w:p>
            <w:r/>
            <w:r>
              <w:rPr>
                <w:rFonts w:ascii="Arial" w:hAnsi="Arial"/>
                <w:sz w:val="16"/>
              </w:rPr>
              <w:t>EWG: toxic to eggs/sperm</w:t>
            </w:r>
          </w:p>
        </w:tc>
        <w:tc>
          <w:tcPr>
            <w:tcW w:type="dxa" w:w="1296"/>
          </w:tcPr>
          <w:p>
            <w:r/>
            <w:r>
              <w:rPr>
                <w:rFonts w:ascii="Arial" w:hAnsi="Arial"/>
                <w:sz w:val="16"/>
              </w:rPr>
              <w:t>Silica matrix</w:t>
            </w:r>
          </w:p>
        </w:tc>
        <w:tc>
          <w:tcPr>
            <w:tcW w:type="dxa" w:w="1440"/>
          </w:tcPr>
          <w:p>
            <w:r/>
            <w:r>
              <w:rPr>
                <w:rFonts w:ascii="Arial" w:hAnsi="Arial"/>
                <w:sz w:val="16"/>
              </w:rPr>
              <w:t>CONDITIONAL — court-challenged</w:t>
            </w:r>
          </w:p>
        </w:tc>
      </w:tr>
      <w:tr>
        <w:tc>
          <w:tcPr>
            <w:tcW w:type="dxa" w:w="1584"/>
            <w:shd w:fill="FEF2F2" w:val="clear"/>
          </w:tcPr>
          <w:p>
            <w:r/>
            <w:r>
              <w:rPr>
                <w:rFonts w:ascii="Arial" w:hAnsi="Arial"/>
                <w:sz w:val="16"/>
              </w:rPr>
              <w:t>Noble Embedded Ag</w:t>
            </w:r>
          </w:p>
        </w:tc>
        <w:tc>
          <w:tcPr>
            <w:tcW w:type="dxa" w:w="1296"/>
            <w:shd w:fill="FEF2F2" w:val="clear"/>
          </w:tcPr>
          <w:p>
            <w:r/>
            <w:r>
              <w:rPr>
                <w:rFonts w:ascii="Arial" w:hAnsi="Arial"/>
                <w:sz w:val="16"/>
              </w:rPr>
              <w:t>33-100% / 4-30 washes</w:t>
            </w:r>
          </w:p>
        </w:tc>
        <w:tc>
          <w:tcPr>
            <w:tcW w:type="dxa" w:w="1440"/>
            <w:shd w:fill="FEF2F2" w:val="clear"/>
          </w:tcPr>
          <w:p>
            <w:r/>
            <w:r>
              <w:rPr>
                <w:rFonts w:ascii="Arial" w:hAnsi="Arial"/>
                <w:sz w:val="16"/>
              </w:rPr>
              <w:t>1.9-5.3 ppb (Ag+)</w:t>
            </w:r>
          </w:p>
        </w:tc>
        <w:tc>
          <w:tcPr>
            <w:tcW w:type="dxa" w:w="1440"/>
            <w:shd w:fill="FEF2F2" w:val="clear"/>
          </w:tcPr>
          <w:p>
            <w:r/>
            <w:r>
              <w:rPr>
                <w:rFonts w:ascii="Arial" w:hAnsi="Arial"/>
                <w:sz w:val="16"/>
              </w:rPr>
              <w:t>Argyria (permanent)</w:t>
            </w:r>
          </w:p>
        </w:tc>
        <w:tc>
          <w:tcPr>
            <w:tcW w:type="dxa" w:w="1296"/>
            <w:shd w:fill="FEF2F2" w:val="clear"/>
          </w:tcPr>
          <w:p>
            <w:r/>
            <w:r>
              <w:rPr>
                <w:rFonts w:ascii="Arial" w:hAnsi="Arial"/>
                <w:sz w:val="16"/>
              </w:rPr>
              <w:t>Polymer metallizing</w:t>
            </w:r>
          </w:p>
        </w:tc>
        <w:tc>
          <w:tcPr>
            <w:tcW w:type="dxa" w:w="1440"/>
            <w:shd w:fill="FEF2F2" w:val="clear"/>
          </w:tcPr>
          <w:p>
            <w:r/>
            <w:r>
              <w:rPr>
                <w:rFonts w:ascii="Arial" w:hAnsi="Arial"/>
                <w:sz w:val="16"/>
              </w:rPr>
              <w:t>Opaque — no public reg #s</w:t>
            </w:r>
          </w:p>
        </w:tc>
      </w:tr>
      <w:tr>
        <w:tc>
          <w:tcPr>
            <w:tcW w:type="dxa" w:w="1584"/>
          </w:tcPr>
          <w:p>
            <w:r/>
            <w:r>
              <w:rPr>
                <w:rFonts w:ascii="Arial" w:hAnsi="Arial"/>
                <w:sz w:val="16"/>
              </w:rPr>
              <w:t>FUZE Metamaterial</w:t>
            </w:r>
          </w:p>
        </w:tc>
        <w:tc>
          <w:tcPr>
            <w:tcW w:type="dxa" w:w="1296"/>
          </w:tcPr>
          <w:p>
            <w:r/>
            <w:r>
              <w:rPr>
                <w:rFonts w:ascii="Arial" w:hAnsi="Arial"/>
                <w:sz w:val="16"/>
              </w:rPr>
              <w:t>ZERO</w:t>
            </w:r>
          </w:p>
        </w:tc>
        <w:tc>
          <w:tcPr>
            <w:tcW w:type="dxa" w:w="1440"/>
          </w:tcPr>
          <w:p>
            <w:r/>
            <w:r>
              <w:rPr>
                <w:rFonts w:ascii="Arial" w:hAnsi="Arial"/>
                <w:sz w:val="16"/>
              </w:rPr>
              <w:t>NONE</w:t>
            </w:r>
          </w:p>
        </w:tc>
        <w:tc>
          <w:tcPr>
            <w:tcW w:type="dxa" w:w="1440"/>
          </w:tcPr>
          <w:p>
            <w:r/>
            <w:r>
              <w:rPr>
                <w:rFonts w:ascii="Arial" w:hAnsi="Arial"/>
                <w:sz w:val="16"/>
              </w:rPr>
              <w:t>NONE documented</w:t>
            </w:r>
          </w:p>
        </w:tc>
        <w:tc>
          <w:tcPr>
            <w:tcW w:type="dxa" w:w="1296"/>
          </w:tcPr>
          <w:p>
            <w:r/>
            <w:r>
              <w:rPr>
                <w:rFonts w:ascii="Arial" w:hAnsi="Arial"/>
                <w:sz w:val="16"/>
              </w:rPr>
              <w:t>NONE</w:t>
            </w:r>
          </w:p>
        </w:tc>
        <w:tc>
          <w:tcPr>
            <w:tcW w:type="dxa" w:w="1440"/>
          </w:tcPr>
          <w:p>
            <w:r/>
            <w:r>
              <w:rPr>
                <w:rFonts w:ascii="Arial" w:hAnsi="Arial"/>
                <w:sz w:val="16"/>
              </w:rPr>
              <w:t>Full PRIA 6 approval</w:t>
            </w:r>
          </w:p>
        </w:tc>
      </w:tr>
    </w:tbl>
    <w:p/>
    <w:p>
      <w:r>
        <w:br w:type="page"/>
      </w:r>
    </w:p>
    <w:p>
      <w:pPr>
        <w:pStyle w:val="Heading1"/>
      </w:pPr>
      <w:r>
        <w:t>1. EPA Registration Genealogy — The 50-Year Amendment Scam</w:t>
      </w:r>
    </w:p>
    <w:p>
      <w:r>
        <w:t>Every major antimicrobial textile competitor traces its EPA registration to data from the early 1980s or earlier. These registrations have been amended, extended, and relabeled for decades — but the underlying safety data has never been updated to modern standards. New polymers, new marketing claims, new brand names — same 40-year-old safety data.</w:t>
      </w:r>
    </w:p>
    <w:p>
      <w:r>
        <w:rPr>
          <w:b/>
          <w:color w:val="DC2626"/>
          <w:sz w:val="22"/>
        </w:rPr>
        <w:t>FUZE is the only antimicrobial textile treatment that went through full PRIA 6 modern safety evaluation: chronic toxicity, reproductive/developmental toxicity, neurotoxicity screening, complete environmental fate, and full efficacy validation.</w:t>
      </w:r>
    </w:p>
    <w:p>
      <w:pPr>
        <w:pStyle w:val="Heading2"/>
      </w:pPr>
      <w:r>
        <w:t>Registration Family Tree</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296"/>
            <w:shd w:fill="0D473B" w:val="clear"/>
          </w:tcPr>
          <w:p>
            <w:r/>
            <w:r>
              <w:rPr>
                <w:rFonts w:ascii="Arial" w:hAnsi="Arial"/>
                <w:b/>
                <w:color w:val="FFFFFF"/>
                <w:sz w:val="16"/>
              </w:rPr>
              <w:t>Competitor</w:t>
            </w:r>
          </w:p>
        </w:tc>
        <w:tc>
          <w:tcPr>
            <w:tcW w:type="dxa" w:w="1008"/>
            <w:shd w:fill="0D473B" w:val="clear"/>
          </w:tcPr>
          <w:p>
            <w:r/>
            <w:r>
              <w:rPr>
                <w:rFonts w:ascii="Arial" w:hAnsi="Arial"/>
                <w:b/>
                <w:color w:val="FFFFFF"/>
                <w:sz w:val="16"/>
              </w:rPr>
              <w:t>EPA Reg #</w:t>
            </w:r>
          </w:p>
        </w:tc>
        <w:tc>
          <w:tcPr>
            <w:tcW w:type="dxa" w:w="864"/>
            <w:shd w:fill="0D473B" w:val="clear"/>
          </w:tcPr>
          <w:p>
            <w:r/>
            <w:r>
              <w:rPr>
                <w:rFonts w:ascii="Arial" w:hAnsi="Arial"/>
                <w:b/>
                <w:color w:val="FFFFFF"/>
                <w:sz w:val="16"/>
              </w:rPr>
              <w:t>Original Date</w:t>
            </w:r>
          </w:p>
        </w:tc>
        <w:tc>
          <w:tcPr>
            <w:tcW w:type="dxa" w:w="1296"/>
            <w:shd w:fill="0D473B" w:val="clear"/>
          </w:tcPr>
          <w:p>
            <w:r/>
            <w:r>
              <w:rPr>
                <w:rFonts w:ascii="Arial" w:hAnsi="Arial"/>
                <w:b/>
                <w:color w:val="FFFFFF"/>
                <w:sz w:val="16"/>
              </w:rPr>
              <w:t>Active Ingredient</w:t>
            </w:r>
          </w:p>
        </w:tc>
        <w:tc>
          <w:tcPr>
            <w:tcW w:type="dxa" w:w="1872"/>
            <w:shd w:fill="0D473B" w:val="clear"/>
          </w:tcPr>
          <w:p>
            <w:r/>
            <w:r>
              <w:rPr>
                <w:rFonts w:ascii="Arial" w:hAnsi="Arial"/>
                <w:b/>
                <w:color w:val="FFFFFF"/>
                <w:sz w:val="16"/>
              </w:rPr>
              <w:t>Data Origin</w:t>
            </w:r>
          </w:p>
        </w:tc>
        <w:tc>
          <w:tcPr>
            <w:tcW w:type="dxa" w:w="1152"/>
            <w:shd w:fill="0D473B" w:val="clear"/>
          </w:tcPr>
          <w:p>
            <w:r/>
            <w:r>
              <w:rPr>
                <w:rFonts w:ascii="Arial" w:hAnsi="Arial"/>
                <w:b/>
                <w:color w:val="FFFFFF"/>
                <w:sz w:val="16"/>
              </w:rPr>
              <w:t>Status</w:t>
            </w:r>
          </w:p>
        </w:tc>
        <w:tc>
          <w:tcPr>
            <w:tcW w:type="dxa" w:w="1296"/>
            <w:shd w:fill="0D473B" w:val="clear"/>
          </w:tcPr>
          <w:p>
            <w:r/>
            <w:r>
              <w:rPr>
                <w:rFonts w:ascii="Arial" w:hAnsi="Arial"/>
                <w:b/>
                <w:color w:val="FFFFFF"/>
                <w:sz w:val="16"/>
              </w:rPr>
              <w:t>Risk Level</w:t>
            </w:r>
          </w:p>
        </w:tc>
      </w:tr>
      <w:tr>
        <w:tc>
          <w:tcPr>
            <w:tcW w:type="dxa" w:w="1296"/>
          </w:tcPr>
          <w:p>
            <w:r/>
            <w:r>
              <w:rPr>
                <w:rFonts w:ascii="Arial" w:hAnsi="Arial"/>
                <w:sz w:val="16"/>
              </w:rPr>
              <w:t>Microban</w:t>
            </w:r>
          </w:p>
        </w:tc>
        <w:tc>
          <w:tcPr>
            <w:tcW w:type="dxa" w:w="1008"/>
          </w:tcPr>
          <w:p>
            <w:r/>
            <w:r>
              <w:rPr>
                <w:rFonts w:ascii="Arial" w:hAnsi="Arial"/>
                <w:sz w:val="16"/>
              </w:rPr>
              <w:t>42182-1</w:t>
            </w:r>
          </w:p>
        </w:tc>
        <w:tc>
          <w:tcPr>
            <w:tcW w:type="dxa" w:w="864"/>
          </w:tcPr>
          <w:p>
            <w:r/>
            <w:r>
              <w:rPr>
                <w:rFonts w:ascii="Arial" w:hAnsi="Arial"/>
                <w:sz w:val="16"/>
              </w:rPr>
              <w:t>August 1983</w:t>
            </w:r>
          </w:p>
        </w:tc>
        <w:tc>
          <w:tcPr>
            <w:tcW w:type="dxa" w:w="1296"/>
          </w:tcPr>
          <w:p>
            <w:r/>
            <w:r>
              <w:rPr>
                <w:rFonts w:ascii="Arial" w:hAnsi="Arial"/>
                <w:sz w:val="16"/>
              </w:rPr>
              <w:t>Silver (plastic additive)</w:t>
            </w:r>
          </w:p>
        </w:tc>
        <w:tc>
          <w:tcPr>
            <w:tcW w:type="dxa" w:w="1872"/>
          </w:tcPr>
          <w:p>
            <w:r/>
            <w:r>
              <w:rPr>
                <w:rFonts w:ascii="Arial" w:hAnsi="Arial"/>
                <w:sz w:val="16"/>
              </w:rPr>
              <w:t>Original 1983 — EPA said cannot support health claims (1987)</w:t>
            </w:r>
          </w:p>
        </w:tc>
        <w:tc>
          <w:tcPr>
            <w:tcW w:type="dxa" w:w="1152"/>
          </w:tcPr>
          <w:p>
            <w:r/>
            <w:r>
              <w:rPr>
                <w:rFonts w:ascii="Arial" w:hAnsi="Arial"/>
                <w:sz w:val="16"/>
              </w:rPr>
              <w:t>Active, limited claims</w:t>
            </w:r>
          </w:p>
        </w:tc>
        <w:tc>
          <w:tcPr>
            <w:tcW w:type="dxa" w:w="1296"/>
          </w:tcPr>
          <w:p>
            <w:r/>
            <w:r>
              <w:rPr>
                <w:rFonts w:ascii="Arial" w:hAnsi="Arial"/>
                <w:sz w:val="16"/>
              </w:rPr>
              <w:t>HIGH — health claims unsupported</w:t>
            </w:r>
          </w:p>
        </w:tc>
      </w:tr>
      <w:tr>
        <w:tc>
          <w:tcPr>
            <w:tcW w:type="dxa" w:w="1296"/>
            <w:shd w:fill="FEF2F2" w:val="clear"/>
          </w:tcPr>
          <w:p>
            <w:r/>
            <w:r>
              <w:rPr>
                <w:rFonts w:ascii="Arial" w:hAnsi="Arial"/>
                <w:sz w:val="16"/>
              </w:rPr>
              <w:t>Zeomic (Sinanen)</w:t>
            </w:r>
          </w:p>
        </w:tc>
        <w:tc>
          <w:tcPr>
            <w:tcW w:type="dxa" w:w="1008"/>
            <w:shd w:fill="FEF2F2" w:val="clear"/>
          </w:tcPr>
          <w:p>
            <w:r/>
            <w:r>
              <w:rPr>
                <w:rFonts w:ascii="Arial" w:hAnsi="Arial"/>
                <w:sz w:val="16"/>
              </w:rPr>
              <w:t>71227-1 to 7</w:t>
            </w:r>
          </w:p>
        </w:tc>
        <w:tc>
          <w:tcPr>
            <w:tcW w:type="dxa" w:w="864"/>
            <w:shd w:fill="FEF2F2" w:val="clear"/>
          </w:tcPr>
          <w:p>
            <w:r/>
            <w:r>
              <w:rPr>
                <w:rFonts w:ascii="Arial" w:hAnsi="Arial"/>
                <w:sz w:val="16"/>
              </w:rPr>
              <w:t>1984</w:t>
            </w:r>
          </w:p>
        </w:tc>
        <w:tc>
          <w:tcPr>
            <w:tcW w:type="dxa" w:w="1296"/>
            <w:shd w:fill="FEF2F2" w:val="clear"/>
          </w:tcPr>
          <w:p>
            <w:r/>
            <w:r>
              <w:rPr>
                <w:rFonts w:ascii="Arial" w:hAnsi="Arial"/>
                <w:sz w:val="16"/>
              </w:rPr>
              <w:t>Silver zeolite</w:t>
            </w:r>
          </w:p>
        </w:tc>
        <w:tc>
          <w:tcPr>
            <w:tcW w:type="dxa" w:w="1872"/>
            <w:shd w:fill="FEF2F2" w:val="clear"/>
          </w:tcPr>
          <w:p>
            <w:r/>
            <w:r>
              <w:rPr>
                <w:rFonts w:ascii="Arial" w:hAnsi="Arial"/>
                <w:sz w:val="16"/>
              </w:rPr>
              <w:t>Japanese original data</w:t>
            </w:r>
          </w:p>
        </w:tc>
        <w:tc>
          <w:tcPr>
            <w:tcW w:type="dxa" w:w="1152"/>
            <w:shd w:fill="FEF2F2" w:val="clear"/>
          </w:tcPr>
          <w:p>
            <w:r/>
            <w:r>
              <w:rPr>
                <w:rFonts w:ascii="Arial" w:hAnsi="Arial"/>
                <w:sz w:val="16"/>
              </w:rPr>
              <w:t>Active, grandfathered</w:t>
            </w:r>
          </w:p>
        </w:tc>
        <w:tc>
          <w:tcPr>
            <w:tcW w:type="dxa" w:w="1296"/>
            <w:shd w:fill="FEF2F2" w:val="clear"/>
          </w:tcPr>
          <w:p>
            <w:r/>
            <w:r>
              <w:rPr>
                <w:rFonts w:ascii="Arial" w:hAnsi="Arial"/>
                <w:sz w:val="16"/>
              </w:rPr>
              <w:t>MEDIUM — pre-1996 data</w:t>
            </w:r>
          </w:p>
        </w:tc>
      </w:tr>
      <w:tr>
        <w:tc>
          <w:tcPr>
            <w:tcW w:type="dxa" w:w="1296"/>
          </w:tcPr>
          <w:p>
            <w:r/>
            <w:r>
              <w:rPr>
                <w:rFonts w:ascii="Arial" w:hAnsi="Arial"/>
                <w:sz w:val="16"/>
              </w:rPr>
              <w:t>Sciessent/Agion</w:t>
            </w:r>
          </w:p>
        </w:tc>
        <w:tc>
          <w:tcPr>
            <w:tcW w:type="dxa" w:w="1008"/>
          </w:tcPr>
          <w:p>
            <w:r/>
            <w:r>
              <w:rPr>
                <w:rFonts w:ascii="Arial" w:hAnsi="Arial"/>
                <w:sz w:val="16"/>
              </w:rPr>
              <w:t>88165-2, 4, 5</w:t>
            </w:r>
          </w:p>
        </w:tc>
        <w:tc>
          <w:tcPr>
            <w:tcW w:type="dxa" w:w="864"/>
          </w:tcPr>
          <w:p>
            <w:r/>
            <w:r>
              <w:rPr>
                <w:rFonts w:ascii="Arial" w:hAnsi="Arial"/>
                <w:sz w:val="16"/>
              </w:rPr>
              <w:t>Post-2000</w:t>
            </w:r>
          </w:p>
        </w:tc>
        <w:tc>
          <w:tcPr>
            <w:tcW w:type="dxa" w:w="1296"/>
          </w:tcPr>
          <w:p>
            <w:r/>
            <w:r>
              <w:rPr>
                <w:rFonts w:ascii="Arial" w:hAnsi="Arial"/>
                <w:sz w:val="16"/>
              </w:rPr>
              <w:t>Silver ion on zeolite</w:t>
            </w:r>
          </w:p>
        </w:tc>
        <w:tc>
          <w:tcPr>
            <w:tcW w:type="dxa" w:w="1872"/>
          </w:tcPr>
          <w:p>
            <w:r/>
            <w:r>
              <w:rPr>
                <w:rFonts w:ascii="Arial" w:hAnsi="Arial"/>
                <w:sz w:val="16"/>
              </w:rPr>
              <w:t>Sinanen supplier data — $220K fine for FIFRA violations</w:t>
            </w:r>
          </w:p>
        </w:tc>
        <w:tc>
          <w:tcPr>
            <w:tcW w:type="dxa" w:w="1152"/>
          </w:tcPr>
          <w:p>
            <w:r/>
            <w:r>
              <w:rPr>
                <w:rFonts w:ascii="Arial" w:hAnsi="Arial"/>
                <w:sz w:val="16"/>
              </w:rPr>
              <w:t>Conditional</w:t>
            </w:r>
          </w:p>
        </w:tc>
        <w:tc>
          <w:tcPr>
            <w:tcW w:type="dxa" w:w="1296"/>
          </w:tcPr>
          <w:p>
            <w:r/>
            <w:r>
              <w:rPr>
                <w:rFonts w:ascii="Arial" w:hAnsi="Arial"/>
                <w:sz w:val="16"/>
              </w:rPr>
              <w:t>HIGH — supply-chain dependent</w:t>
            </w:r>
          </w:p>
        </w:tc>
      </w:tr>
      <w:tr>
        <w:tc>
          <w:tcPr>
            <w:tcW w:type="dxa" w:w="1296"/>
            <w:shd w:fill="FEF2F2" w:val="clear"/>
          </w:tcPr>
          <w:p>
            <w:r/>
            <w:r>
              <w:rPr>
                <w:rFonts w:ascii="Arial" w:hAnsi="Arial"/>
                <w:sz w:val="16"/>
              </w:rPr>
              <w:t>Silvadur (DuPont)</w:t>
            </w:r>
          </w:p>
        </w:tc>
        <w:tc>
          <w:tcPr>
            <w:tcW w:type="dxa" w:w="1008"/>
            <w:shd w:fill="FEF2F2" w:val="clear"/>
          </w:tcPr>
          <w:p>
            <w:r/>
            <w:r>
              <w:rPr>
                <w:rFonts w:ascii="Arial" w:hAnsi="Arial"/>
                <w:sz w:val="16"/>
              </w:rPr>
              <w:t>464-785</w:t>
            </w:r>
          </w:p>
        </w:tc>
        <w:tc>
          <w:tcPr>
            <w:tcW w:type="dxa" w:w="864"/>
            <w:shd w:fill="FEF2F2" w:val="clear"/>
          </w:tcPr>
          <w:p>
            <w:r/>
            <w:r>
              <w:rPr>
                <w:rFonts w:ascii="Arial" w:hAnsi="Arial"/>
                <w:sz w:val="16"/>
              </w:rPr>
              <w:t>May 29, 2013</w:t>
            </w:r>
          </w:p>
        </w:tc>
        <w:tc>
          <w:tcPr>
            <w:tcW w:type="dxa" w:w="1296"/>
            <w:shd w:fill="FEF2F2" w:val="clear"/>
          </w:tcPr>
          <w:p>
            <w:r/>
            <w:r>
              <w:rPr>
                <w:rFonts w:ascii="Arial" w:hAnsi="Arial"/>
                <w:sz w:val="16"/>
              </w:rPr>
              <w:t>Silver ion (Ag+)</w:t>
            </w:r>
          </w:p>
        </w:tc>
        <w:tc>
          <w:tcPr>
            <w:tcW w:type="dxa" w:w="1872"/>
            <w:shd w:fill="FEF2F2" w:val="clear"/>
          </w:tcPr>
          <w:p>
            <w:r/>
            <w:r>
              <w:rPr>
                <w:rFonts w:ascii="Arial" w:hAnsi="Arial"/>
                <w:sz w:val="16"/>
              </w:rPr>
              <w:t>Likely data compensation from pre-1996 registrants</w:t>
            </w:r>
          </w:p>
        </w:tc>
        <w:tc>
          <w:tcPr>
            <w:tcW w:type="dxa" w:w="1152"/>
            <w:shd w:fill="FEF2F2" w:val="clear"/>
          </w:tcPr>
          <w:p>
            <w:r/>
            <w:r>
              <w:rPr>
                <w:rFonts w:ascii="Arial" w:hAnsi="Arial"/>
                <w:sz w:val="16"/>
              </w:rPr>
              <w:t>Unconditional</w:t>
            </w:r>
          </w:p>
        </w:tc>
        <w:tc>
          <w:tcPr>
            <w:tcW w:type="dxa" w:w="1296"/>
            <w:shd w:fill="FEF2F2" w:val="clear"/>
          </w:tcPr>
          <w:p>
            <w:r/>
            <w:r>
              <w:rPr>
                <w:rFonts w:ascii="Arial" w:hAnsi="Arial"/>
                <w:sz w:val="16"/>
              </w:rPr>
              <w:t>LOW — but dependent on old data</w:t>
            </w:r>
          </w:p>
        </w:tc>
      </w:tr>
      <w:tr>
        <w:tc>
          <w:tcPr>
            <w:tcW w:type="dxa" w:w="1296"/>
          </w:tcPr>
          <w:p>
            <w:r/>
            <w:r>
              <w:rPr>
                <w:rFonts w:ascii="Arial" w:hAnsi="Arial"/>
                <w:sz w:val="16"/>
              </w:rPr>
              <w:t>HeiQ AGS-20</w:t>
            </w:r>
          </w:p>
        </w:tc>
        <w:tc>
          <w:tcPr>
            <w:tcW w:type="dxa" w:w="1008"/>
          </w:tcPr>
          <w:p>
            <w:r/>
            <w:r>
              <w:rPr>
                <w:rFonts w:ascii="Arial" w:hAnsi="Arial"/>
                <w:sz w:val="16"/>
              </w:rPr>
              <w:t>85249-1, 85249-2</w:t>
            </w:r>
          </w:p>
        </w:tc>
        <w:tc>
          <w:tcPr>
            <w:tcW w:type="dxa" w:w="864"/>
          </w:tcPr>
          <w:p>
            <w:r/>
            <w:r>
              <w:rPr>
                <w:rFonts w:ascii="Arial" w:hAnsi="Arial"/>
                <w:sz w:val="16"/>
              </w:rPr>
              <w:t>Dec 1, 2011</w:t>
            </w:r>
          </w:p>
        </w:tc>
        <w:tc>
          <w:tcPr>
            <w:tcW w:type="dxa" w:w="1296"/>
          </w:tcPr>
          <w:p>
            <w:r/>
            <w:r>
              <w:rPr>
                <w:rFonts w:ascii="Arial" w:hAnsi="Arial"/>
                <w:sz w:val="16"/>
              </w:rPr>
              <w:t>Nanosilver on silica (1-10nm)</w:t>
            </w:r>
          </w:p>
        </w:tc>
        <w:tc>
          <w:tcPr>
            <w:tcW w:type="dxa" w:w="1872"/>
          </w:tcPr>
          <w:p>
            <w:r/>
            <w:r>
              <w:rPr>
                <w:rFonts w:ascii="Arial" w:hAnsi="Arial"/>
                <w:sz w:val="16"/>
              </w:rPr>
              <w:t>Me-too application (2008) + original HeiQ data</w:t>
            </w:r>
          </w:p>
        </w:tc>
        <w:tc>
          <w:tcPr>
            <w:tcW w:type="dxa" w:w="1152"/>
          </w:tcPr>
          <w:p>
            <w:r/>
            <w:r>
              <w:rPr>
                <w:rFonts w:ascii="Arial" w:hAnsi="Arial"/>
                <w:sz w:val="16"/>
              </w:rPr>
              <w:t>CONDITIONAL — court-challenged</w:t>
            </w:r>
          </w:p>
        </w:tc>
        <w:tc>
          <w:tcPr>
            <w:tcW w:type="dxa" w:w="1296"/>
          </w:tcPr>
          <w:p>
            <w:r/>
            <w:r>
              <w:rPr>
                <w:rFonts w:ascii="Arial" w:hAnsi="Arial"/>
                <w:sz w:val="16"/>
              </w:rPr>
              <w:t>CRITICAL — NSPW precedent</w:t>
            </w:r>
          </w:p>
        </w:tc>
      </w:tr>
      <w:tr>
        <w:tc>
          <w:tcPr>
            <w:tcW w:type="dxa" w:w="1296"/>
            <w:shd w:fill="FEF2F2" w:val="clear"/>
          </w:tcPr>
          <w:p>
            <w:r/>
            <w:r>
              <w:rPr>
                <w:rFonts w:ascii="Arial" w:hAnsi="Arial"/>
                <w:sz w:val="16"/>
              </w:rPr>
              <w:t>NSPW (Nanosilva)</w:t>
            </w:r>
          </w:p>
        </w:tc>
        <w:tc>
          <w:tcPr>
            <w:tcW w:type="dxa" w:w="1008"/>
            <w:shd w:fill="FEF2F2" w:val="clear"/>
          </w:tcPr>
          <w:p>
            <w:r/>
            <w:r>
              <w:rPr>
                <w:rFonts w:ascii="Arial" w:hAnsi="Arial"/>
                <w:sz w:val="16"/>
              </w:rPr>
              <w:t>82012-1</w:t>
            </w:r>
          </w:p>
        </w:tc>
        <w:tc>
          <w:tcPr>
            <w:tcW w:type="dxa" w:w="864"/>
            <w:shd w:fill="FEF2F2" w:val="clear"/>
          </w:tcPr>
          <w:p>
            <w:r/>
            <w:r>
              <w:rPr>
                <w:rFonts w:ascii="Arial" w:hAnsi="Arial"/>
                <w:sz w:val="16"/>
              </w:rPr>
              <w:t>May 2015</w:t>
            </w:r>
          </w:p>
        </w:tc>
        <w:tc>
          <w:tcPr>
            <w:tcW w:type="dxa" w:w="1296"/>
            <w:shd w:fill="FEF2F2" w:val="clear"/>
          </w:tcPr>
          <w:p>
            <w:r/>
            <w:r>
              <w:rPr>
                <w:rFonts w:ascii="Arial" w:hAnsi="Arial"/>
                <w:sz w:val="16"/>
              </w:rPr>
              <w:t>Liquid nanosilver</w:t>
            </w:r>
          </w:p>
        </w:tc>
        <w:tc>
          <w:tcPr>
            <w:tcW w:type="dxa" w:w="1872"/>
            <w:shd w:fill="FEF2F2" w:val="clear"/>
          </w:tcPr>
          <w:p>
            <w:r/>
            <w:r>
              <w:rPr>
                <w:rFonts w:ascii="Arial" w:hAnsi="Arial"/>
                <w:sz w:val="16"/>
              </w:rPr>
              <w:t>Original Nanosilva data</w:t>
            </w:r>
          </w:p>
        </w:tc>
        <w:tc>
          <w:tcPr>
            <w:tcW w:type="dxa" w:w="1152"/>
            <w:shd w:fill="FEF2F2" w:val="clear"/>
          </w:tcPr>
          <w:p>
            <w:r/>
            <w:r>
              <w:rPr>
                <w:rFonts w:ascii="Arial" w:hAnsi="Arial"/>
                <w:sz w:val="16"/>
              </w:rPr>
              <w:t>VACATED by 9th Circuit (2017)</w:t>
            </w:r>
          </w:p>
        </w:tc>
        <w:tc>
          <w:tcPr>
            <w:tcW w:type="dxa" w:w="1296"/>
            <w:shd w:fill="FEF2F2" w:val="clear"/>
          </w:tcPr>
          <w:p>
            <w:r/>
            <w:r>
              <w:rPr>
                <w:rFonts w:ascii="Arial" w:hAnsi="Arial"/>
                <w:sz w:val="16"/>
              </w:rPr>
              <w:t>DEAD — registration revoked</w:t>
            </w:r>
          </w:p>
        </w:tc>
      </w:tr>
      <w:tr>
        <w:tc>
          <w:tcPr>
            <w:tcW w:type="dxa" w:w="1296"/>
          </w:tcPr>
          <w:p>
            <w:r/>
            <w:r>
              <w:rPr>
                <w:rFonts w:ascii="Arial" w:hAnsi="Arial"/>
                <w:sz w:val="16"/>
              </w:rPr>
              <w:t>Aegis</w:t>
            </w:r>
          </w:p>
        </w:tc>
        <w:tc>
          <w:tcPr>
            <w:tcW w:type="dxa" w:w="1008"/>
          </w:tcPr>
          <w:p>
            <w:r/>
            <w:r>
              <w:rPr>
                <w:rFonts w:ascii="Arial" w:hAnsi="Arial"/>
                <w:sz w:val="16"/>
              </w:rPr>
              <w:t>64881-1 to 7</w:t>
            </w:r>
          </w:p>
        </w:tc>
        <w:tc>
          <w:tcPr>
            <w:tcW w:type="dxa" w:w="864"/>
          </w:tcPr>
          <w:p>
            <w:r/>
            <w:r>
              <w:rPr>
                <w:rFonts w:ascii="Arial" w:hAnsi="Arial"/>
                <w:sz w:val="16"/>
              </w:rPr>
              <w:t>~1990s</w:t>
            </w:r>
          </w:p>
        </w:tc>
        <w:tc>
          <w:tcPr>
            <w:tcW w:type="dxa" w:w="1296"/>
          </w:tcPr>
          <w:p>
            <w:r/>
            <w:r>
              <w:rPr>
                <w:rFonts w:ascii="Arial" w:hAnsi="Arial"/>
                <w:sz w:val="16"/>
              </w:rPr>
              <w:t>Silane quat (NOT silver)</w:t>
            </w:r>
          </w:p>
        </w:tc>
        <w:tc>
          <w:tcPr>
            <w:tcW w:type="dxa" w:w="1872"/>
          </w:tcPr>
          <w:p>
            <w:r/>
            <w:r>
              <w:rPr>
                <w:rFonts w:ascii="Arial" w:hAnsi="Arial"/>
                <w:sz w:val="16"/>
              </w:rPr>
              <w:t>Original data</w:t>
            </w:r>
          </w:p>
        </w:tc>
        <w:tc>
          <w:tcPr>
            <w:tcW w:type="dxa" w:w="1152"/>
          </w:tcPr>
          <w:p>
            <w:r/>
            <w:r>
              <w:rPr>
                <w:rFonts w:ascii="Arial" w:hAnsi="Arial"/>
                <w:sz w:val="16"/>
              </w:rPr>
              <w:t>Active</w:t>
            </w:r>
          </w:p>
        </w:tc>
        <w:tc>
          <w:tcPr>
            <w:tcW w:type="dxa" w:w="1296"/>
          </w:tcPr>
          <w:p>
            <w:r/>
            <w:r>
              <w:rPr>
                <w:rFonts w:ascii="Arial" w:hAnsi="Arial"/>
                <w:sz w:val="16"/>
              </w:rPr>
              <w:t>MEDIUM — health data weak</w:t>
            </w:r>
          </w:p>
        </w:tc>
      </w:tr>
      <w:tr>
        <w:tc>
          <w:tcPr>
            <w:tcW w:type="dxa" w:w="1296"/>
            <w:shd w:fill="FEF2F2" w:val="clear"/>
          </w:tcPr>
          <w:p>
            <w:r/>
            <w:r>
              <w:rPr>
                <w:rFonts w:ascii="Arial" w:hAnsi="Arial"/>
                <w:sz w:val="16"/>
              </w:rPr>
              <w:t>Ultra-Fresh</w:t>
            </w:r>
          </w:p>
        </w:tc>
        <w:tc>
          <w:tcPr>
            <w:tcW w:type="dxa" w:w="1008"/>
            <w:shd w:fill="FEF2F2" w:val="clear"/>
          </w:tcPr>
          <w:p>
            <w:r/>
            <w:r>
              <w:rPr>
                <w:rFonts w:ascii="Arial" w:hAnsi="Arial"/>
                <w:sz w:val="16"/>
              </w:rPr>
              <w:t>42182-24, 92760</w:t>
            </w:r>
          </w:p>
        </w:tc>
        <w:tc>
          <w:tcPr>
            <w:tcW w:type="dxa" w:w="864"/>
            <w:shd w:fill="FEF2F2" w:val="clear"/>
          </w:tcPr>
          <w:p>
            <w:r/>
            <w:r>
              <w:rPr>
                <w:rFonts w:ascii="Arial" w:hAnsi="Arial"/>
                <w:sz w:val="16"/>
              </w:rPr>
              <w:t>Dec 2009</w:t>
            </w:r>
          </w:p>
        </w:tc>
        <w:tc>
          <w:tcPr>
            <w:tcW w:type="dxa" w:w="1296"/>
            <w:shd w:fill="FEF2F2" w:val="clear"/>
          </w:tcPr>
          <w:p>
            <w:r/>
            <w:r>
              <w:rPr>
                <w:rFonts w:ascii="Arial" w:hAnsi="Arial"/>
                <w:sz w:val="16"/>
              </w:rPr>
              <w:t>Zinc pyrithione + thiabendazole</w:t>
            </w:r>
          </w:p>
        </w:tc>
        <w:tc>
          <w:tcPr>
            <w:tcW w:type="dxa" w:w="1872"/>
            <w:shd w:fill="FEF2F2" w:val="clear"/>
          </w:tcPr>
          <w:p>
            <w:r/>
            <w:r>
              <w:rPr>
                <w:rFonts w:ascii="Arial" w:hAnsi="Arial"/>
                <w:sz w:val="16"/>
              </w:rPr>
              <w:t>Original TRA data</w:t>
            </w:r>
          </w:p>
        </w:tc>
        <w:tc>
          <w:tcPr>
            <w:tcW w:type="dxa" w:w="1152"/>
            <w:shd w:fill="FEF2F2" w:val="clear"/>
          </w:tcPr>
          <w:p>
            <w:r/>
            <w:r>
              <w:rPr>
                <w:rFonts w:ascii="Arial" w:hAnsi="Arial"/>
                <w:sz w:val="16"/>
              </w:rPr>
              <w:t>Active</w:t>
            </w:r>
          </w:p>
        </w:tc>
        <w:tc>
          <w:tcPr>
            <w:tcW w:type="dxa" w:w="1296"/>
            <w:shd w:fill="FEF2F2" w:val="clear"/>
          </w:tcPr>
          <w:p>
            <w:r/>
            <w:r>
              <w:rPr>
                <w:rFonts w:ascii="Arial" w:hAnsi="Arial"/>
                <w:sz w:val="16"/>
              </w:rPr>
              <w:t>HIGH — H330 fatal inhalation</w:t>
            </w:r>
          </w:p>
        </w:tc>
      </w:tr>
      <w:tr>
        <w:tc>
          <w:tcPr>
            <w:tcW w:type="dxa" w:w="1296"/>
          </w:tcPr>
          <w:p>
            <w:r/>
            <w:r>
              <w:rPr>
                <w:rFonts w:ascii="Arial" w:hAnsi="Arial"/>
                <w:sz w:val="16"/>
              </w:rPr>
              <w:t>Noble Biomaterials</w:t>
            </w:r>
          </w:p>
        </w:tc>
        <w:tc>
          <w:tcPr>
            <w:tcW w:type="dxa" w:w="1008"/>
          </w:tcPr>
          <w:p>
            <w:r/>
            <w:r>
              <w:rPr>
                <w:rFonts w:ascii="Arial" w:hAnsi="Arial"/>
                <w:sz w:val="16"/>
              </w:rPr>
              <w:t>NOT PUBLISHED</w:t>
            </w:r>
          </w:p>
        </w:tc>
        <w:tc>
          <w:tcPr>
            <w:tcW w:type="dxa" w:w="864"/>
          </w:tcPr>
          <w:p>
            <w:r/>
            <w:r>
              <w:rPr>
                <w:rFonts w:ascii="Arial" w:hAnsi="Arial"/>
                <w:sz w:val="16"/>
              </w:rPr>
              <w:t>Unclear</w:t>
            </w:r>
          </w:p>
        </w:tc>
        <w:tc>
          <w:tcPr>
            <w:tcW w:type="dxa" w:w="1296"/>
          </w:tcPr>
          <w:p>
            <w:r/>
            <w:r>
              <w:rPr>
                <w:rFonts w:ascii="Arial" w:hAnsi="Arial"/>
                <w:sz w:val="16"/>
              </w:rPr>
              <w:t>Metallic silver / citric acid</w:t>
            </w:r>
          </w:p>
        </w:tc>
        <w:tc>
          <w:tcPr>
            <w:tcW w:type="dxa" w:w="1872"/>
          </w:tcPr>
          <w:p>
            <w:r/>
            <w:r>
              <w:rPr>
                <w:rFonts w:ascii="Arial" w:hAnsi="Arial"/>
                <w:sz w:val="16"/>
              </w:rPr>
              <w:t>Original + botanical (2023)</w:t>
            </w:r>
          </w:p>
        </w:tc>
        <w:tc>
          <w:tcPr>
            <w:tcW w:type="dxa" w:w="1152"/>
          </w:tcPr>
          <w:p>
            <w:r/>
            <w:r>
              <w:rPr>
                <w:rFonts w:ascii="Arial" w:hAnsi="Arial"/>
                <w:sz w:val="16"/>
              </w:rPr>
              <w:t>Claimed registered</w:t>
            </w:r>
          </w:p>
        </w:tc>
        <w:tc>
          <w:tcPr>
            <w:tcW w:type="dxa" w:w="1296"/>
          </w:tcPr>
          <w:p>
            <w:r/>
            <w:r>
              <w:rPr>
                <w:rFonts w:ascii="Arial" w:hAnsi="Arial"/>
                <w:sz w:val="16"/>
              </w:rPr>
              <w:t>MEDIUM — no transparency</w:t>
            </w:r>
          </w:p>
        </w:tc>
      </w:tr>
      <w:tr>
        <w:tc>
          <w:tcPr>
            <w:tcW w:type="dxa" w:w="1296"/>
            <w:shd w:fill="FEF2F2" w:val="clear"/>
          </w:tcPr>
          <w:p>
            <w:r/>
            <w:r>
              <w:rPr>
                <w:rFonts w:ascii="Arial" w:hAnsi="Arial"/>
                <w:sz w:val="16"/>
              </w:rPr>
              <w:t>FUZE Biotech</w:t>
            </w:r>
          </w:p>
        </w:tc>
        <w:tc>
          <w:tcPr>
            <w:tcW w:type="dxa" w:w="1008"/>
            <w:shd w:fill="FEF2F2" w:val="clear"/>
          </w:tcPr>
          <w:p>
            <w:r/>
            <w:r>
              <w:rPr>
                <w:rFonts w:ascii="Arial" w:hAnsi="Arial"/>
                <w:sz w:val="16"/>
              </w:rPr>
              <w:t>CAS 7440-22-4</w:t>
            </w:r>
          </w:p>
        </w:tc>
        <w:tc>
          <w:tcPr>
            <w:tcW w:type="dxa" w:w="864"/>
            <w:shd w:fill="FEF2F2" w:val="clear"/>
          </w:tcPr>
          <w:p>
            <w:r/>
            <w:r>
              <w:rPr>
                <w:rFonts w:ascii="Arial" w:hAnsi="Arial"/>
                <w:sz w:val="16"/>
              </w:rPr>
              <w:t>Modern</w:t>
            </w:r>
          </w:p>
        </w:tc>
        <w:tc>
          <w:tcPr>
            <w:tcW w:type="dxa" w:w="1296"/>
            <w:shd w:fill="FEF2F2" w:val="clear"/>
          </w:tcPr>
          <w:p>
            <w:r/>
            <w:r>
              <w:rPr>
                <w:rFonts w:ascii="Arial" w:hAnsi="Arial"/>
                <w:sz w:val="16"/>
              </w:rPr>
              <w:t>Elemental Ag via laser ablation</w:t>
            </w:r>
          </w:p>
        </w:tc>
        <w:tc>
          <w:tcPr>
            <w:tcW w:type="dxa" w:w="1872"/>
            <w:shd w:fill="FEF2F2" w:val="clear"/>
          </w:tcPr>
          <w:p>
            <w:r/>
            <w:r>
              <w:rPr>
                <w:rFonts w:ascii="Arial" w:hAnsi="Arial"/>
                <w:sz w:val="16"/>
              </w:rPr>
              <w:t>Full PRIA 6 independent data</w:t>
            </w:r>
          </w:p>
        </w:tc>
        <w:tc>
          <w:tcPr>
            <w:tcW w:type="dxa" w:w="1152"/>
            <w:shd w:fill="FEF2F2" w:val="clear"/>
          </w:tcPr>
          <w:p>
            <w:r/>
            <w:r>
              <w:rPr>
                <w:rFonts w:ascii="Arial" w:hAnsi="Arial"/>
                <w:sz w:val="16"/>
              </w:rPr>
              <w:t>Full approval</w:t>
            </w:r>
          </w:p>
        </w:tc>
        <w:tc>
          <w:tcPr>
            <w:tcW w:type="dxa" w:w="1296"/>
            <w:shd w:fill="FEF2F2" w:val="clear"/>
          </w:tcPr>
          <w:p>
            <w:r/>
            <w:r>
              <w:rPr>
                <w:rFonts w:ascii="Arial" w:hAnsi="Arial"/>
                <w:sz w:val="16"/>
              </w:rPr>
              <w:t>NONE — modern testing complete</w:t>
            </w:r>
          </w:p>
        </w:tc>
      </w:tr>
    </w:tbl>
    <w:p/>
    <w:p>
      <w:pPr>
        <w:pStyle w:val="Heading2"/>
      </w:pPr>
      <w:r>
        <w:t>The Grandfathered Registration Problem</w:t>
      </w:r>
    </w:p>
    <w:p>
      <w:r>
        <w:t>Per EPA's December 2012 Position Paper on Registration Review of Silver Compounds: approximately 135 registered silver antimicrobial products exist, of which 106 describe their active ingredient as "metallic silver" (CAS# 7440-22-4). All but one of the products registered in the four decades before 1996 use metallic silver. These products were never subjected to:</w:t>
      </w:r>
    </w:p>
    <w:p>
      <w:pPr>
        <w:pStyle w:val="ListBullet"/>
      </w:pPr>
      <w:r>
        <w:t>Chronic toxicity studies (90-day + 1-year dog studies)</w:t>
      </w:r>
    </w:p>
    <w:p>
      <w:pPr>
        <w:pStyle w:val="ListBullet"/>
      </w:pPr>
      <w:r>
        <w:t>Reproductive/developmental toxicity (two-generation rat, rabbit/rat developmental)</w:t>
      </w:r>
    </w:p>
    <w:p>
      <w:pPr>
        <w:pStyle w:val="ListBullet"/>
      </w:pPr>
      <w:r>
        <w:t>Neurotoxicity screening and subchronic studies</w:t>
      </w:r>
    </w:p>
    <w:p>
      <w:pPr>
        <w:pStyle w:val="ListBullet"/>
      </w:pPr>
      <w:r>
        <w:t>Complete environmental fate and aquatic toxicity data</w:t>
      </w:r>
    </w:p>
    <w:p>
      <w:pPr>
        <w:pStyle w:val="ListBullet"/>
      </w:pPr>
      <w:r>
        <w:t>Endocrine disruption screening</w:t>
      </w:r>
    </w:p>
    <w:p>
      <w:pPr>
        <w:pStyle w:val="ListBullet"/>
      </w:pPr>
      <w:r>
        <w:t>Full efficacy validation under modern protocols</w:t>
      </w:r>
    </w:p>
    <w:p>
      <w:r>
        <w:t>The "me-too" registration pathway compounds this problem. Companies like DuPont (Silvadur, 2013) and HeiQ (AGS-20, 2008 application) use data compensation from these pre-1996 registrants — paying $25,000-75,000 instead of the $500,000-1,000,000+ required for independent modern testing. The safety data underlying the entire silver antimicrobial industry is fundamentally outdated.</w:t>
      </w:r>
    </w:p>
    <w:p>
      <w:pPr>
        <w:pStyle w:val="Heading2"/>
      </w:pPr>
      <w:r>
        <w:t>The Supply Chain Bottleneck: Sinanen Controls Everything</w:t>
      </w:r>
    </w:p>
    <w:p>
      <w:r>
        <w:t>Sinanen Zeomic Co., Ltd. (Japan) commercialized the world's first silver-based inorganic antimicrobial in 1984. Today, Sinanen supplies FIFRA-registered silver ion substances to Sciessent/Agion and potentially HeiQ. An EPA facility inspection in February 2009 confirmed Sinanen's role as a pesticide-producing establishment. If Sinanen's supply chain is disrupted — by regulatory action, trade dispute, or business failure — multiple US registrants face cascading registration failures.</w:t>
      </w:r>
    </w:p>
    <w:p>
      <w:r>
        <w:br w:type="page"/>
      </w:r>
    </w:p>
    <w:p>
      <w:pPr>
        <w:pStyle w:val="Heading1"/>
      </w:pPr>
      <w:r>
        <w:t>2. HeiQ Materials AG — Full Competitive Teardown</w:t>
      </w:r>
    </w:p>
    <w:p>
      <w:r>
        <w:rPr>
          <w:b/>
          <w:color w:val="DC2626"/>
          <w:sz w:val="22"/>
        </w:rPr>
        <w:t>Financial collapse. Court-challenged registration. Antiviral claims banned in USA. $100M+ lawsuit. Delisted from London Stock Exchange.</w:t>
      </w:r>
    </w:p>
    <w:p>
      <w:pPr>
        <w:pStyle w:val="Heading2"/>
      </w:pPr>
      <w:r>
        <w:t>Company Status</w:t>
      </w:r>
    </w:p>
    <w:tbl>
      <w:tblPr>
        <w:tblStyle w:val="TableGrid"/>
        <w:tblW w:type="auto" w:w="0"/>
        <w:jc w:val="center"/>
        <w:tblLook w:firstColumn="1" w:firstRow="1" w:lastColumn="0" w:lastRow="0" w:noHBand="0" w:noVBand="1" w:val="04A0"/>
      </w:tblPr>
      <w:tblGrid>
        <w:gridCol w:w="4896"/>
        <w:gridCol w:w="4896"/>
      </w:tblGrid>
      <w:tr>
        <w:tc>
          <w:tcPr>
            <w:tcW w:type="dxa" w:w="2160"/>
            <w:shd w:fill="7F1D1D" w:val="clear"/>
          </w:tcPr>
          <w:p>
            <w:r/>
            <w:r>
              <w:rPr>
                <w:rFonts w:ascii="Arial" w:hAnsi="Arial"/>
                <w:b/>
                <w:color w:val="FFFFFF"/>
                <w:sz w:val="16"/>
              </w:rPr>
              <w:t>Metric</w:t>
            </w:r>
          </w:p>
        </w:tc>
        <w:tc>
          <w:tcPr>
            <w:tcW w:type="dxa" w:w="7632"/>
            <w:shd w:fill="7F1D1D" w:val="clear"/>
          </w:tcPr>
          <w:p>
            <w:r/>
            <w:r>
              <w:rPr>
                <w:rFonts w:ascii="Arial" w:hAnsi="Arial"/>
                <w:b/>
                <w:color w:val="FFFFFF"/>
                <w:sz w:val="16"/>
              </w:rPr>
              <w:t>Data</w:t>
            </w:r>
          </w:p>
        </w:tc>
      </w:tr>
      <w:tr>
        <w:tc>
          <w:tcPr>
            <w:tcW w:type="dxa" w:w="2160"/>
          </w:tcPr>
          <w:p>
            <w:r/>
            <w:r>
              <w:rPr>
                <w:rFonts w:ascii="Arial" w:hAnsi="Arial"/>
                <w:sz w:val="16"/>
              </w:rPr>
              <w:t>Stock Performance</w:t>
            </w:r>
          </w:p>
        </w:tc>
        <w:tc>
          <w:tcPr>
            <w:tcW w:type="dxa" w:w="7632"/>
          </w:tcPr>
          <w:p>
            <w:r/>
            <w:r>
              <w:rPr>
                <w:rFonts w:ascii="Arial" w:hAnsi="Arial"/>
                <w:sz w:val="16"/>
              </w:rPr>
              <w:t>-69.49% over 365 days leading to delisting</w:t>
            </w:r>
          </w:p>
        </w:tc>
      </w:tr>
      <w:tr>
        <w:tc>
          <w:tcPr>
            <w:tcW w:type="dxa" w:w="2160"/>
            <w:shd w:fill="FEF2F2" w:val="clear"/>
          </w:tcPr>
          <w:p>
            <w:r/>
            <w:r>
              <w:rPr>
                <w:rFonts w:ascii="Arial" w:hAnsi="Arial"/>
                <w:sz w:val="16"/>
              </w:rPr>
              <w:t>LSE Delisting</w:t>
            </w:r>
          </w:p>
        </w:tc>
        <w:tc>
          <w:tcPr>
            <w:tcW w:type="dxa" w:w="7632"/>
            <w:shd w:fill="FEF2F2" w:val="clear"/>
          </w:tcPr>
          <w:p>
            <w:r/>
            <w:r>
              <w:rPr>
                <w:rFonts w:ascii="Arial" w:hAnsi="Arial"/>
                <w:sz w:val="16"/>
              </w:rPr>
              <w:t>November 18, 2024 — returned to private ownership at 4.50p/share</w:t>
            </w:r>
          </w:p>
        </w:tc>
      </w:tr>
      <w:tr>
        <w:tc>
          <w:tcPr>
            <w:tcW w:type="dxa" w:w="2160"/>
          </w:tcPr>
          <w:p>
            <w:r/>
            <w:r>
              <w:rPr>
                <w:rFonts w:ascii="Arial" w:hAnsi="Arial"/>
                <w:sz w:val="16"/>
              </w:rPr>
              <w:t>2024 Revenue</w:t>
            </w:r>
          </w:p>
        </w:tc>
        <w:tc>
          <w:tcPr>
            <w:tcW w:type="dxa" w:w="7632"/>
          </w:tcPr>
          <w:p>
            <w:r/>
            <w:r>
              <w:rPr>
                <w:rFonts w:ascii="Arial" w:hAnsi="Arial"/>
                <w:sz w:val="16"/>
              </w:rPr>
              <w:t>$41.55M (-0.48% YoY)</w:t>
            </w:r>
          </w:p>
        </w:tc>
      </w:tr>
      <w:tr>
        <w:tc>
          <w:tcPr>
            <w:tcW w:type="dxa" w:w="2160"/>
            <w:shd w:fill="FEF2F2" w:val="clear"/>
          </w:tcPr>
          <w:p>
            <w:r/>
            <w:r>
              <w:rPr>
                <w:rFonts w:ascii="Arial" w:hAnsi="Arial"/>
                <w:sz w:val="16"/>
              </w:rPr>
              <w:t>2024 Net Loss</w:t>
            </w:r>
          </w:p>
        </w:tc>
        <w:tc>
          <w:tcPr>
            <w:tcW w:type="dxa" w:w="7632"/>
            <w:shd w:fill="FEF2F2" w:val="clear"/>
          </w:tcPr>
          <w:p>
            <w:r/>
            <w:r>
              <w:rPr>
                <w:rFonts w:ascii="Arial" w:hAnsi="Arial"/>
                <w:sz w:val="16"/>
              </w:rPr>
              <w:t>-$13.89M</w:t>
            </w:r>
          </w:p>
        </w:tc>
      </w:tr>
      <w:tr>
        <w:tc>
          <w:tcPr>
            <w:tcW w:type="dxa" w:w="2160"/>
          </w:tcPr>
          <w:p>
            <w:r/>
            <w:r>
              <w:rPr>
                <w:rFonts w:ascii="Arial" w:hAnsi="Arial"/>
                <w:sz w:val="16"/>
              </w:rPr>
              <w:t>Demand Collapse</w:t>
            </w:r>
          </w:p>
        </w:tc>
        <w:tc>
          <w:tcPr>
            <w:tcW w:type="dxa" w:w="7632"/>
          </w:tcPr>
          <w:p>
            <w:r/>
            <w:r>
              <w:rPr>
                <w:rFonts w:ascii="Arial" w:hAnsi="Arial"/>
                <w:sz w:val="16"/>
              </w:rPr>
              <w:t>70% drop in Q4 2022 — brands cut antimicrobial investment</w:t>
            </w:r>
          </w:p>
        </w:tc>
      </w:tr>
      <w:tr>
        <w:tc>
          <w:tcPr>
            <w:tcW w:type="dxa" w:w="2160"/>
            <w:shd w:fill="FEF2F2" w:val="clear"/>
          </w:tcPr>
          <w:p>
            <w:r/>
            <w:r>
              <w:rPr>
                <w:rFonts w:ascii="Arial" w:hAnsi="Arial"/>
                <w:sz w:val="16"/>
              </w:rPr>
              <w:t>Since IPO (Dec 2020)</w:t>
            </w:r>
          </w:p>
        </w:tc>
        <w:tc>
          <w:tcPr>
            <w:tcW w:type="dxa" w:w="7632"/>
            <w:shd w:fill="FEF2F2" w:val="clear"/>
          </w:tcPr>
          <w:p>
            <w:r/>
            <w:r>
              <w:rPr>
                <w:rFonts w:ascii="Arial" w:hAnsi="Arial"/>
                <w:sz w:val="16"/>
              </w:rPr>
              <w:t>Acquired 4 companies but sustained continuous losses</w:t>
            </w:r>
          </w:p>
        </w:tc>
      </w:tr>
    </w:tbl>
    <w:p/>
    <w:p>
      <w:pPr>
        <w:pStyle w:val="Heading2"/>
      </w:pPr>
      <w:r>
        <w:t>EPA Registration: Conditional and Court-Challenged</w:t>
      </w:r>
    </w:p>
    <w:p>
      <w:r>
        <w:t>HeiQ AGS-20 (EPA Reg. 85249-1, 85249-2) received conditional registration on December 1, 2011 — the first nanosilver product registered by EPA as a new active ingredient. "Conditional" means EPA explicitly lacked sufficient data to make a final safety determination. Safety studies were deferred:</w:t>
      </w:r>
    </w:p>
    <w:p>
      <w:pPr>
        <w:pStyle w:val="ListBullet"/>
      </w:pPr>
      <w:r>
        <w:t>Tier I studies mandated within 4 years of conditional approval</w:t>
      </w:r>
    </w:p>
    <w:p>
      <w:pPr>
        <w:pStyle w:val="ListBullet"/>
      </w:pPr>
      <w:r>
        <w:t>Tier II studies may be required depending on Tier I results</w:t>
      </w:r>
    </w:p>
    <w:p>
      <w:pPr>
        <w:pStyle w:val="ListBullet"/>
      </w:pPr>
      <w:r>
        <w:t>Full toxicology and environmental assessment deferred at time of approval</w:t>
      </w:r>
    </w:p>
    <w:p>
      <w:pPr>
        <w:pStyle w:val="ListBullet"/>
      </w:pPr>
      <w:r>
        <w:t>EPA acknowledged lacking "information to conduct a complete assessment of potential risks to human health and environment"</w:t>
      </w:r>
    </w:p>
    <w:p>
      <w:pPr>
        <w:pStyle w:val="Heading2"/>
      </w:pPr>
      <w:r>
        <w:t>Court Challenges</w:t>
      </w:r>
    </w:p>
    <w:p>
      <w:pPr>
        <w:pStyle w:val="ListBullet"/>
      </w:pPr>
      <w:r>
        <w:rPr>
          <w:rFonts w:ascii="Arial" w:hAnsi="Arial"/>
          <w:b/>
          <w:sz w:val="20"/>
        </w:rPr>
        <w:t xml:space="preserve">Challenge 1: </w:t>
      </w:r>
      <w:r>
        <w:t>NRDC v. EPA (2013): Ninth Circuit vacated EPA's risk assessment for AGS-20 exposure to textiles — found EPA's assumption that toddlers (not infants) were the appropriate exposure group lacked substantial evidence</w:t>
      </w:r>
    </w:p>
    <w:p>
      <w:pPr>
        <w:pStyle w:val="ListBullet"/>
      </w:pPr>
      <w:r>
        <w:rPr>
          <w:rFonts w:ascii="Arial" w:hAnsi="Arial"/>
          <w:b/>
          <w:sz w:val="20"/>
        </w:rPr>
        <w:t xml:space="preserve">Precedent: </w:t>
      </w:r>
      <w:r>
        <w:t>Nanosilva NSPW (2017): Ninth Circuit vacated IN WHOLE the conditional registration of NSPW liquid nanosilver — a directly analogous nanosilver product. This creates binding precedent that conditional nanosilver registrations can be revoked for inadequate safety data</w:t>
      </w:r>
    </w:p>
    <w:p>
      <w:pPr>
        <w:pStyle w:val="Heading2"/>
      </w:pPr>
      <w:r>
        <w:t>Viroblock: Cannot Make Antiviral Claims in the USA</w:t>
      </w:r>
    </w:p>
    <w:p>
      <w:r>
        <w:t>HeiQ's flagship Viroblock technology cannot make active antiviral claims on U.S. consumer products. Companies are "pursuing approval from EPA to make antiviral claims" — approval has NOT been granted. Only FDA-registered medical devices can make antiviral claims. Any U.S. marketing of Viroblock with antiviral health claims violates FIFRA.</w:t>
      </w:r>
    </w:p>
    <w:p>
      <w:pPr>
        <w:pStyle w:val="Heading2"/>
      </w:pPr>
      <w:r>
        <w:t>HeiQ v. ICP Industrial Lawsuit</w:t>
      </w:r>
    </w:p>
    <w:p>
      <w:r>
        <w:t>Filed October 2022 in U.S. District Court, Middle District of North Carolina. HeiQ accused ICP Industrial of breaching exclusive Viroblock supply agreement: failure to pay royalties, fabricated reasons for delaying sales, unrealistic pricing. HeiQ claimed damages "well in excess of $100M." Settled for a fraction of that amount. Indicative of HeiQ's difficulty converting partnerships into revenue.</w:t>
      </w:r>
    </w:p>
    <w:p>
      <w:pPr>
        <w:pStyle w:val="Heading2"/>
      </w:pPr>
      <w:r>
        <w:t>Environmental Working Group Opposition</w:t>
      </w:r>
    </w:p>
    <w:p>
      <w:r>
        <w:t>EWG formally opposed EPA conditional registration, citing: nanosilver particles toxic to cells developing into eggs/sperm in mammals, nanoparticles may penetrate skin and cross blood-brain barrier, nanosilver migrates into washing machines and contaminates water supply, and "reversing that contamination is very likely impossible."</w:t>
      </w:r>
    </w:p>
    <w:p>
      <w:pPr>
        <w:pStyle w:val="Heading2"/>
      </w:pPr>
      <w:r>
        <w:t>Durability Claims: Not Independently Verified</w:t>
      </w:r>
    </w:p>
    <w:p>
      <w:r>
        <w:t>HeiQ claims "lifetime durability" and "guaranteed performance for the lifetime of the product." No evidence of independent third-party lifetime durability verification exists for consumer products. Claims are marketing language, not independently validated data.</w:t>
      </w:r>
    </w:p>
    <w:p>
      <w:r>
        <w:br w:type="page"/>
      </w:r>
    </w:p>
    <w:p>
      <w:pPr>
        <w:pStyle w:val="Heading1"/>
      </w:pPr>
      <w:r>
        <w:t>3. Noble Biomaterials — Full Competitive Teardown</w:t>
      </w:r>
    </w:p>
    <w:p>
      <w:r>
        <w:rPr>
          <w:b/>
          <w:color w:val="DC2626"/>
          <w:sz w:val="22"/>
        </w:rPr>
        <w:t>"250+ licensees" = ~15-20 verified. EPA registration numbers not published. Independent testing contradicts "permanent" claims.</w:t>
      </w:r>
    </w:p>
    <w:p>
      <w:pPr>
        <w:pStyle w:val="Heading2"/>
      </w:pPr>
      <w:r>
        <w:t>Company Profile</w:t>
      </w:r>
    </w:p>
    <w:tbl>
      <w:tblPr>
        <w:tblStyle w:val="TableGrid"/>
        <w:tblW w:type="auto" w:w="0"/>
        <w:jc w:val="center"/>
        <w:tblLook w:firstColumn="1" w:firstRow="1" w:lastColumn="0" w:lastRow="0" w:noHBand="0" w:noVBand="1" w:val="04A0"/>
      </w:tblPr>
      <w:tblGrid>
        <w:gridCol w:w="4896"/>
        <w:gridCol w:w="4896"/>
      </w:tblGrid>
      <w:tr>
        <w:tc>
          <w:tcPr>
            <w:tcW w:type="dxa" w:w="2160"/>
            <w:shd w:fill="1E406E" w:val="clear"/>
          </w:tcPr>
          <w:p>
            <w:r/>
            <w:r>
              <w:rPr>
                <w:rFonts w:ascii="Arial" w:hAnsi="Arial"/>
                <w:b/>
                <w:color w:val="FFFFFF"/>
                <w:sz w:val="16"/>
              </w:rPr>
              <w:t>Metric</w:t>
            </w:r>
          </w:p>
        </w:tc>
        <w:tc>
          <w:tcPr>
            <w:tcW w:type="dxa" w:w="7632"/>
            <w:shd w:fill="1E406E" w:val="clear"/>
          </w:tcPr>
          <w:p>
            <w:r/>
            <w:r>
              <w:rPr>
                <w:rFonts w:ascii="Arial" w:hAnsi="Arial"/>
                <w:b/>
                <w:color w:val="FFFFFF"/>
                <w:sz w:val="16"/>
              </w:rPr>
              <w:t>Data</w:t>
            </w:r>
          </w:p>
        </w:tc>
      </w:tr>
      <w:tr>
        <w:tc>
          <w:tcPr>
            <w:tcW w:type="dxa" w:w="2160"/>
          </w:tcPr>
          <w:p>
            <w:r/>
            <w:r>
              <w:rPr>
                <w:rFonts w:ascii="Arial" w:hAnsi="Arial"/>
                <w:sz w:val="16"/>
              </w:rPr>
              <w:t>Founded</w:t>
            </w:r>
          </w:p>
        </w:tc>
        <w:tc>
          <w:tcPr>
            <w:tcW w:type="dxa" w:w="7632"/>
          </w:tcPr>
          <w:p>
            <w:r/>
            <w:r>
              <w:rPr>
                <w:rFonts w:ascii="Arial" w:hAnsi="Arial"/>
                <w:sz w:val="16"/>
              </w:rPr>
              <w:t>1997 (NOT 1970s — no grandfathered registration)</w:t>
            </w:r>
          </w:p>
        </w:tc>
      </w:tr>
      <w:tr>
        <w:tc>
          <w:tcPr>
            <w:tcW w:type="dxa" w:w="2160"/>
            <w:shd w:fill="FEF2F2" w:val="clear"/>
          </w:tcPr>
          <w:p>
            <w:r/>
            <w:r>
              <w:rPr>
                <w:rFonts w:ascii="Arial" w:hAnsi="Arial"/>
                <w:sz w:val="16"/>
              </w:rPr>
              <w:t>Revenue</w:t>
            </w:r>
          </w:p>
        </w:tc>
        <w:tc>
          <w:tcPr>
            <w:tcW w:type="dxa" w:w="7632"/>
            <w:shd w:fill="FEF2F2" w:val="clear"/>
          </w:tcPr>
          <w:p>
            <w:r/>
            <w:r>
              <w:rPr>
                <w:rFonts w:ascii="Arial" w:hAnsi="Arial"/>
                <w:sz w:val="16"/>
              </w:rPr>
              <w:t>$20.2M annually</w:t>
            </w:r>
          </w:p>
        </w:tc>
      </w:tr>
      <w:tr>
        <w:tc>
          <w:tcPr>
            <w:tcW w:type="dxa" w:w="2160"/>
          </w:tcPr>
          <w:p>
            <w:r/>
            <w:r>
              <w:rPr>
                <w:rFonts w:ascii="Arial" w:hAnsi="Arial"/>
                <w:sz w:val="16"/>
              </w:rPr>
              <w:t>Employees</w:t>
            </w:r>
          </w:p>
        </w:tc>
        <w:tc>
          <w:tcPr>
            <w:tcW w:type="dxa" w:w="7632"/>
          </w:tcPr>
          <w:p>
            <w:r/>
            <w:r>
              <w:rPr>
                <w:rFonts w:ascii="Arial" w:hAnsi="Arial"/>
                <w:sz w:val="16"/>
              </w:rPr>
              <w:t>104-140</w:t>
            </w:r>
          </w:p>
        </w:tc>
      </w:tr>
      <w:tr>
        <w:tc>
          <w:tcPr>
            <w:tcW w:type="dxa" w:w="2160"/>
            <w:shd w:fill="FEF2F2" w:val="clear"/>
          </w:tcPr>
          <w:p>
            <w:r/>
            <w:r>
              <w:rPr>
                <w:rFonts w:ascii="Arial" w:hAnsi="Arial"/>
                <w:sz w:val="16"/>
              </w:rPr>
              <w:t>EPA Registration #s</w:t>
            </w:r>
          </w:p>
        </w:tc>
        <w:tc>
          <w:tcPr>
            <w:tcW w:type="dxa" w:w="7632"/>
            <w:shd w:fill="FEF2F2" w:val="clear"/>
          </w:tcPr>
          <w:p>
            <w:r/>
            <w:r>
              <w:rPr>
                <w:rFonts w:ascii="Arial" w:hAnsi="Arial"/>
                <w:sz w:val="16"/>
              </w:rPr>
              <w:t>NOT PUBLICLY DISCLOSED — opaque regulatory posture</w:t>
            </w:r>
          </w:p>
        </w:tc>
      </w:tr>
      <w:tr>
        <w:tc>
          <w:tcPr>
            <w:tcW w:type="dxa" w:w="2160"/>
          </w:tcPr>
          <w:p>
            <w:r/>
            <w:r>
              <w:rPr>
                <w:rFonts w:ascii="Arial" w:hAnsi="Arial"/>
                <w:sz w:val="16"/>
              </w:rPr>
              <w:t>FDA Status</w:t>
            </w:r>
          </w:p>
        </w:tc>
        <w:tc>
          <w:tcPr>
            <w:tcW w:type="dxa" w:w="7632"/>
          </w:tcPr>
          <w:p>
            <w:r/>
            <w:r>
              <w:rPr>
                <w:rFonts w:ascii="Arial" w:hAnsi="Arial"/>
                <w:sz w:val="16"/>
              </w:rPr>
              <w:t>Registered medical device facility (SilverSeal wound care)</w:t>
            </w:r>
          </w:p>
        </w:tc>
      </w:tr>
      <w:tr>
        <w:tc>
          <w:tcPr>
            <w:tcW w:type="dxa" w:w="2160"/>
            <w:shd w:fill="FEF2F2" w:val="clear"/>
          </w:tcPr>
          <w:p>
            <w:r/>
            <w:r>
              <w:rPr>
                <w:rFonts w:ascii="Arial" w:hAnsi="Arial"/>
                <w:sz w:val="16"/>
              </w:rPr>
              <w:t>Key Acquisition</w:t>
            </w:r>
          </w:p>
        </w:tc>
        <w:tc>
          <w:tcPr>
            <w:tcW w:type="dxa" w:w="7632"/>
            <w:shd w:fill="FEF2F2" w:val="clear"/>
          </w:tcPr>
          <w:p>
            <w:r/>
            <w:r>
              <w:rPr>
                <w:rFonts w:ascii="Arial" w:hAnsi="Arial"/>
                <w:sz w:val="16"/>
              </w:rPr>
              <w:t>Carolina Silver LLC (2013) — full-service silver fabric manufacturer</w:t>
            </w:r>
          </w:p>
        </w:tc>
      </w:tr>
      <w:tr>
        <w:tc>
          <w:tcPr>
            <w:tcW w:type="dxa" w:w="2160"/>
          </w:tcPr>
          <w:p>
            <w:r/>
            <w:r>
              <w:rPr>
                <w:rFonts w:ascii="Arial" w:hAnsi="Arial"/>
                <w:sz w:val="16"/>
              </w:rPr>
              <w:t>Key Lawsuit Won</w:t>
            </w:r>
          </w:p>
        </w:tc>
        <w:tc>
          <w:tcPr>
            <w:tcW w:type="dxa" w:w="7632"/>
          </w:tcPr>
          <w:p>
            <w:r/>
            <w:r>
              <w:rPr>
                <w:rFonts w:ascii="Arial" w:hAnsi="Arial"/>
                <w:sz w:val="16"/>
              </w:rPr>
              <w:t>$3.25M damages against Argentum Medical (2008-2011)</w:t>
            </w:r>
          </w:p>
        </w:tc>
      </w:tr>
    </w:tbl>
    <w:p/>
    <w:p>
      <w:pPr>
        <w:pStyle w:val="Heading2"/>
      </w:pPr>
      <w:r>
        <w:t>The Leaching Reality vs. Marketing Claims</w:t>
      </w:r>
    </w:p>
    <w:p>
      <w:r>
        <w:t>Noble claims silver is "permanently bonded" and "doesn't wash off" with "250+ launderings with no reduction in performance." Independent research tells a different story:</w:t>
      </w:r>
    </w:p>
    <w:p>
      <w:pPr>
        <w:pStyle w:val="ListBullet"/>
      </w:pPr>
      <w:r>
        <w:t>2014 Swiss Study (Empa): X-STATIC non-nano silver on nylon released the SAME OR MORE silver nanoparticles in wastewater than nanosilver-coated textiles</w:t>
      </w:r>
    </w:p>
    <w:p>
      <w:pPr>
        <w:pStyle w:val="ListBullet"/>
      </w:pPr>
      <w:r>
        <w:t>Silver ion release in sweat/urine: 38% of total silver mass released into artificial sweat</w:t>
      </w:r>
    </w:p>
    <w:p>
      <w:pPr>
        <w:pStyle w:val="ListBullet"/>
      </w:pPr>
      <w:r>
        <w:t>Some studies show 100% silver loss after just 4 wash cycles</w:t>
      </w:r>
    </w:p>
    <w:p>
      <w:pPr>
        <w:pStyle w:val="ListBullet"/>
      </w:pPr>
      <w:r>
        <w:t>Even Noble's own implied data: 33% loss over 30 washes (they market the 67% retention as positive)</w:t>
      </w:r>
    </w:p>
    <w:p>
      <w:pPr>
        <w:pStyle w:val="ListBullet"/>
      </w:pPr>
      <w:r>
        <w:t>15% of total silver released into European waters (2010 estimate) comes from biocidal textiles</w:t>
      </w:r>
    </w:p>
    <w:p>
      <w:r>
        <w:t>Noble does not publish independent third-party silver ion release test data. The company relies on in-house lab certifications.</w:t>
      </w:r>
    </w:p>
    <w:p>
      <w:pPr>
        <w:pStyle w:val="Heading2"/>
      </w:pPr>
      <w:r>
        <w:t>The "250+ Licensees" Claim</w:t>
      </w:r>
    </w:p>
    <w:p>
      <w:r>
        <w:t>Noble claims 250+ world-class licensees. Verified major direct licensees number approximately 15-20: Lululemon (2013 exclusive on X-STATIC in apparel), Athleta, Anta, Mack Weldon, Salomon, 3M, Giro, Ansell, Northrop Grumman. The 250+ figure appears to conflate direct licensees with downstream brand partners, distributors, and supply chain nodes.</w:t>
      </w:r>
    </w:p>
    <w:p>
      <w:pPr>
        <w:pStyle w:val="Heading2"/>
      </w:pPr>
      <w:r>
        <w:t>Shift to Bio-Based: Telling Signal</w:t>
      </w:r>
    </w:p>
    <w:p>
      <w:r>
        <w:t>Noble received EPA registration for Ionic+ Botanical (citric acid, bio-based) in March 2023. This pivot away from silver toward plant-based chemistry is a tacit admission that silver durability and regulatory concerns are becoming untenable. The bio-based line allows Noble to maintain antimicrobial claims without the silver toxicity and environmental baggage.</w:t>
      </w:r>
    </w:p>
    <w:p>
      <w:r>
        <w:br w:type="page"/>
      </w:r>
    </w:p>
    <w:p>
      <w:pPr>
        <w:pStyle w:val="Heading1"/>
      </w:pPr>
      <w:r>
        <w:t>4. Silver Chloride &amp; Silver Zeolite</w:t>
      </w:r>
    </w:p>
    <w:p>
      <w:r>
        <w:t>72% of applied silver lost after 10 machine washes. Aquatic LC50 of 1.9 ppb (amphipods) — one of the most toxic metals to aquatic organisms. Free Ag+ ions accumulate in fish gill tissue, blocking Na+/Cl− ion exchange, inhibiting Na+/K+-ATPase, causing blood acidosis and death. Sublethal effects at 0.17-0.6 µg/L. Factory wastewater requires multi-stage treatment: caustic soda (NaOH) for pH adjustment, aluminum polychloride/ferric chloride for coagulation-flocculation, lime for AgCl precipitation, microfiltration for polishing. Sciessent (Agion) fined $220,000 in 2011 for FIFRA violations. Ninth Circuit vacated EPA nanosilver approval in 2017.</w:t>
      </w:r>
    </w:p>
    <w:p>
      <w:pPr>
        <w:pStyle w:val="Heading1"/>
      </w:pPr>
      <w:r>
        <w:t>5. Quaternary Ammonium Compounds (Quats/Aegis)</w:t>
      </w:r>
    </w:p>
    <w:p>
      <w:r>
        <w:t>Aegis claims "non-leaching" — peer-reviewed research shows 77% leaching from underwear, 55% from towels, 81% from socks per wash. EPA classifies DDAC/ADBAC as Toxicity Category I: Corrosive. Occupational asthma confirmed via bronchoprovocation testing. COPD risk independent of smoking status. VOC emissions despite "nonvolatile" marketing — Royal Society of Chemistry 2023 study debunked this. Aegis SDS requires N95/P-100 respirators and notes methanol release. Binder system includes PVA, acrylates, paraffin wax, microcrystalline wax, polyether waxes. Aquatic toxicity: EC50 of 10-14 µg/L. 10% of regions globally face high ecological risk from QAC discharge.</w:t>
      </w:r>
    </w:p>
    <w:p>
      <w:pPr>
        <w:pStyle w:val="Heading1"/>
      </w:pPr>
      <w:r>
        <w:t>6. Copper Oxide</w:t>
      </w:r>
    </w:p>
    <w:p>
      <w:r>
        <w:t>Copper oxide nanoparticle inhalation causes dose-dependent lung inflammation, alveolitis, bronchiolitis, emphysema. OSHA PEL: 1 mg/m³ dust, 0.1 mg/m³ fumes. Copper reacts with sweat to form green discoloration (copper carbonate/chloride). Excessive exposure causes oxidative stress, liver/kidney damage. Wilson's disease patients at elevated risk. Daphnia magna EC50: 0.011-0.039 mg/L. Wastewater treatment requires integrated multi-method approach (precipitation + adsorption + electrochemical + membrane filtration) because no single technique is sufficient.</w:t>
      </w:r>
    </w:p>
    <w:p>
      <w:pPr>
        <w:pStyle w:val="Heading1"/>
      </w:pPr>
      <w:r>
        <w:t>7. Zinc Pyrithione</w:t>
      </w:r>
    </w:p>
    <w:p>
      <w:r>
        <w:rPr>
          <w:b/>
          <w:color w:val="DC2626"/>
          <w:sz w:val="22"/>
        </w:rPr>
        <w:t>GHS CLASSIFICATION: H330 — FATAL IF INHALED</w:t>
      </w:r>
    </w:p>
    <w:p>
      <w:r>
        <w:t>Highest inhalation hazard classification. Factory workers require NIOSH-approved half-face respirators with organic vapor/acid gas cartridges. Reproductive toxicity: dose-dependent testosterone reduction, sperm deformities. 89 ng/L exposure for 4 days reduced offspring across three generations. Acts as metal ionophore increasing free zinc causing oxidative stress. Rapid DNA damage before cell death. EPA dietary risk: 4.2% of Preliminary Acceptable Dietary level for infants/children. Long-term effects "largely unexplored" despite 50+ years of documented toxicity.</w:t>
      </w:r>
    </w:p>
    <w:p>
      <w:r>
        <w:br w:type="page"/>
      </w:r>
    </w:p>
    <w:p>
      <w:pPr>
        <w:pStyle w:val="Heading1"/>
      </w:pPr>
      <w:r>
        <w:t>8. Master Comparison: All Chemistries vs. FUZE</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0D473B" w:val="clear"/>
          </w:tcPr>
          <w:p>
            <w:r/>
            <w:r>
              <w:rPr>
                <w:rFonts w:ascii="Arial" w:hAnsi="Arial"/>
                <w:b/>
                <w:color w:val="FFFFFF"/>
                <w:sz w:val="16"/>
              </w:rPr>
              <w:t>Factor</w:t>
            </w:r>
          </w:p>
        </w:tc>
        <w:tc>
          <w:tcPr>
            <w:tcW w:type="dxa" w:w="1224"/>
            <w:shd w:fill="0D473B" w:val="clear"/>
          </w:tcPr>
          <w:p>
            <w:r/>
            <w:r>
              <w:rPr>
                <w:rFonts w:ascii="Arial" w:hAnsi="Arial"/>
                <w:b/>
                <w:color w:val="FFFFFF"/>
                <w:sz w:val="16"/>
              </w:rPr>
              <w:t>Silver Cl/Zeolite</w:t>
            </w:r>
          </w:p>
        </w:tc>
        <w:tc>
          <w:tcPr>
            <w:tcW w:type="dxa" w:w="1224"/>
            <w:shd w:fill="0D473B" w:val="clear"/>
          </w:tcPr>
          <w:p>
            <w:r/>
            <w:r>
              <w:rPr>
                <w:rFonts w:ascii="Arial" w:hAnsi="Arial"/>
                <w:b/>
                <w:color w:val="FFFFFF"/>
                <w:sz w:val="16"/>
              </w:rPr>
              <w:t>Quats (Aegis)</w:t>
            </w:r>
          </w:p>
        </w:tc>
        <w:tc>
          <w:tcPr>
            <w:tcW w:type="dxa" w:w="1152"/>
            <w:shd w:fill="0D473B" w:val="clear"/>
          </w:tcPr>
          <w:p>
            <w:r/>
            <w:r>
              <w:rPr>
                <w:rFonts w:ascii="Arial" w:hAnsi="Arial"/>
                <w:b/>
                <w:color w:val="FFFFFF"/>
                <w:sz w:val="16"/>
              </w:rPr>
              <w:t>Copper Oxide</w:t>
            </w:r>
          </w:p>
        </w:tc>
        <w:tc>
          <w:tcPr>
            <w:tcW w:type="dxa" w:w="1152"/>
            <w:shd w:fill="0D473B" w:val="clear"/>
          </w:tcPr>
          <w:p>
            <w:r/>
            <w:r>
              <w:rPr>
                <w:rFonts w:ascii="Arial" w:hAnsi="Arial"/>
                <w:b/>
                <w:color w:val="FFFFFF"/>
                <w:sz w:val="16"/>
              </w:rPr>
              <w:t>Zinc Pyrithione</w:t>
            </w:r>
          </w:p>
        </w:tc>
        <w:tc>
          <w:tcPr>
            <w:tcW w:type="dxa" w:w="1152"/>
            <w:shd w:fill="0D473B" w:val="clear"/>
          </w:tcPr>
          <w:p>
            <w:r/>
            <w:r>
              <w:rPr>
                <w:rFonts w:ascii="Arial" w:hAnsi="Arial"/>
                <w:b/>
                <w:color w:val="FFFFFF"/>
                <w:sz w:val="16"/>
              </w:rPr>
              <w:t>HeiQ Nanosilver</w:t>
            </w:r>
          </w:p>
        </w:tc>
        <w:tc>
          <w:tcPr>
            <w:tcW w:type="dxa" w:w="1152"/>
            <w:shd w:fill="0D473B" w:val="clear"/>
          </w:tcPr>
          <w:p>
            <w:r/>
            <w:r>
              <w:rPr>
                <w:rFonts w:ascii="Arial" w:hAnsi="Arial"/>
                <w:b/>
                <w:color w:val="FFFFFF"/>
                <w:sz w:val="16"/>
              </w:rPr>
              <w:t>Noble Embedded</w:t>
            </w:r>
          </w:p>
        </w:tc>
        <w:tc>
          <w:tcPr>
            <w:tcW w:type="dxa" w:w="1224"/>
            <w:shd w:fill="0D473B" w:val="clear"/>
          </w:tcPr>
          <w:p>
            <w:r/>
            <w:r>
              <w:rPr>
                <w:rFonts w:ascii="Arial" w:hAnsi="Arial"/>
                <w:b/>
                <w:color w:val="FFFFFF"/>
                <w:sz w:val="16"/>
              </w:rPr>
              <w:t>FUZE</w:t>
            </w:r>
          </w:p>
        </w:tc>
      </w:tr>
      <w:tr>
        <w:tc>
          <w:tcPr>
            <w:tcW w:type="dxa" w:w="1224"/>
          </w:tcPr>
          <w:p>
            <w:r/>
            <w:r>
              <w:rPr>
                <w:rFonts w:ascii="Arial" w:hAnsi="Arial"/>
                <w:sz w:val="16"/>
              </w:rPr>
              <w:t>Carrier</w:t>
            </w:r>
          </w:p>
        </w:tc>
        <w:tc>
          <w:tcPr>
            <w:tcW w:type="dxa" w:w="1224"/>
          </w:tcPr>
          <w:p>
            <w:r/>
            <w:r>
              <w:rPr>
                <w:rFonts w:ascii="Arial" w:hAnsi="Arial"/>
                <w:sz w:val="16"/>
              </w:rPr>
              <w:t>Zeolite matrix</w:t>
            </w:r>
          </w:p>
        </w:tc>
        <w:tc>
          <w:tcPr>
            <w:tcW w:type="dxa" w:w="1224"/>
          </w:tcPr>
          <w:p>
            <w:r/>
            <w:r>
              <w:rPr>
                <w:rFonts w:ascii="Arial" w:hAnsi="Arial"/>
                <w:sz w:val="16"/>
              </w:rPr>
              <w:t>Polymer binders</w:t>
            </w:r>
          </w:p>
        </w:tc>
        <w:tc>
          <w:tcPr>
            <w:tcW w:type="dxa" w:w="1152"/>
          </w:tcPr>
          <w:p>
            <w:r/>
            <w:r>
              <w:rPr>
                <w:rFonts w:ascii="Arial" w:hAnsi="Arial"/>
                <w:sz w:val="16"/>
              </w:rPr>
              <w:t>Multiple binders</w:t>
            </w:r>
          </w:p>
        </w:tc>
        <w:tc>
          <w:tcPr>
            <w:tcW w:type="dxa" w:w="1152"/>
          </w:tcPr>
          <w:p>
            <w:r/>
            <w:r>
              <w:rPr>
                <w:rFonts w:ascii="Arial" w:hAnsi="Arial"/>
                <w:sz w:val="16"/>
              </w:rPr>
              <w:t>Polyamine</w:t>
            </w:r>
          </w:p>
        </w:tc>
        <w:tc>
          <w:tcPr>
            <w:tcW w:type="dxa" w:w="1152"/>
          </w:tcPr>
          <w:p>
            <w:r/>
            <w:r>
              <w:rPr>
                <w:rFonts w:ascii="Arial" w:hAnsi="Arial"/>
                <w:sz w:val="16"/>
              </w:rPr>
              <w:t>Silica matrix</w:t>
            </w:r>
          </w:p>
        </w:tc>
        <w:tc>
          <w:tcPr>
            <w:tcW w:type="dxa" w:w="1152"/>
          </w:tcPr>
          <w:p>
            <w:r/>
            <w:r>
              <w:rPr>
                <w:rFonts w:ascii="Arial" w:hAnsi="Arial"/>
                <w:sz w:val="16"/>
              </w:rPr>
              <w:t>Polymer substrate</w:t>
            </w:r>
          </w:p>
        </w:tc>
        <w:tc>
          <w:tcPr>
            <w:tcW w:type="dxa" w:w="1224"/>
          </w:tcPr>
          <w:p>
            <w:r/>
            <w:r>
              <w:rPr>
                <w:rFonts w:ascii="Arial" w:hAnsi="Arial"/>
                <w:sz w:val="16"/>
              </w:rPr>
              <w:t>18 MΩ DI water</w:t>
            </w:r>
          </w:p>
        </w:tc>
      </w:tr>
      <w:tr>
        <w:tc>
          <w:tcPr>
            <w:tcW w:type="dxa" w:w="1224"/>
            <w:shd w:fill="FEF2F2" w:val="clear"/>
          </w:tcPr>
          <w:p>
            <w:r/>
            <w:r>
              <w:rPr>
                <w:rFonts w:ascii="Arial" w:hAnsi="Arial"/>
                <w:sz w:val="16"/>
              </w:rPr>
              <w:t>Binders</w:t>
            </w:r>
          </w:p>
        </w:tc>
        <w:tc>
          <w:tcPr>
            <w:tcW w:type="dxa" w:w="1224"/>
            <w:shd w:fill="FEF2F2" w:val="clear"/>
          </w:tcPr>
          <w:p>
            <w:r/>
            <w:r>
              <w:rPr>
                <w:rFonts w:ascii="Arial" w:hAnsi="Arial"/>
                <w:sz w:val="16"/>
              </w:rPr>
              <w:t>Acrylic 10%</w:t>
            </w:r>
          </w:p>
        </w:tc>
        <w:tc>
          <w:tcPr>
            <w:tcW w:type="dxa" w:w="1224"/>
            <w:shd w:fill="FEF2F2" w:val="clear"/>
          </w:tcPr>
          <w:p>
            <w:r/>
            <w:r>
              <w:rPr>
                <w:rFonts w:ascii="Arial" w:hAnsi="Arial"/>
                <w:sz w:val="16"/>
              </w:rPr>
              <w:t>PVA/acrylates/wax</w:t>
            </w:r>
          </w:p>
        </w:tc>
        <w:tc>
          <w:tcPr>
            <w:tcW w:type="dxa" w:w="1152"/>
            <w:shd w:fill="FEF2F2" w:val="clear"/>
          </w:tcPr>
          <w:p>
            <w:r/>
            <w:r>
              <w:rPr>
                <w:rFonts w:ascii="Arial" w:hAnsi="Arial"/>
                <w:sz w:val="16"/>
              </w:rPr>
              <w:t>Polydopamine</w:t>
            </w:r>
          </w:p>
        </w:tc>
        <w:tc>
          <w:tcPr>
            <w:tcW w:type="dxa" w:w="1152"/>
            <w:shd w:fill="FEF2F2" w:val="clear"/>
          </w:tcPr>
          <w:p>
            <w:r/>
            <w:r>
              <w:rPr>
                <w:rFonts w:ascii="Arial" w:hAnsi="Arial"/>
                <w:sz w:val="16"/>
              </w:rPr>
              <w:t>Polyamine/urea</w:t>
            </w:r>
          </w:p>
        </w:tc>
        <w:tc>
          <w:tcPr>
            <w:tcW w:type="dxa" w:w="1152"/>
            <w:shd w:fill="FEF2F2" w:val="clear"/>
          </w:tcPr>
          <w:p>
            <w:r/>
            <w:r>
              <w:rPr>
                <w:rFonts w:ascii="Arial" w:hAnsi="Arial"/>
                <w:sz w:val="16"/>
              </w:rPr>
              <w:t>Silica nanoparticle</w:t>
            </w:r>
          </w:p>
        </w:tc>
        <w:tc>
          <w:tcPr>
            <w:tcW w:type="dxa" w:w="1152"/>
            <w:shd w:fill="FEF2F2" w:val="clear"/>
          </w:tcPr>
          <w:p>
            <w:r/>
            <w:r>
              <w:rPr>
                <w:rFonts w:ascii="Arial" w:hAnsi="Arial"/>
                <w:sz w:val="16"/>
              </w:rPr>
              <w:t>Metallizing polymer</w:t>
            </w:r>
          </w:p>
        </w:tc>
        <w:tc>
          <w:tcPr>
            <w:tcW w:type="dxa" w:w="1224"/>
            <w:shd w:fill="FEF2F2" w:val="clear"/>
          </w:tcPr>
          <w:p>
            <w:r/>
            <w:r>
              <w:rPr>
                <w:rFonts w:ascii="Arial" w:hAnsi="Arial"/>
                <w:sz w:val="16"/>
              </w:rPr>
              <w:t>NONE</w:t>
            </w:r>
          </w:p>
        </w:tc>
      </w:tr>
      <w:tr>
        <w:tc>
          <w:tcPr>
            <w:tcW w:type="dxa" w:w="1224"/>
          </w:tcPr>
          <w:p>
            <w:r/>
            <w:r>
              <w:rPr>
                <w:rFonts w:ascii="Arial" w:hAnsi="Arial"/>
                <w:sz w:val="16"/>
              </w:rPr>
              <w:t>Curing Temp</w:t>
            </w:r>
          </w:p>
        </w:tc>
        <w:tc>
          <w:tcPr>
            <w:tcW w:type="dxa" w:w="1224"/>
          </w:tcPr>
          <w:p>
            <w:r/>
            <w:r>
              <w:rPr>
                <w:rFonts w:ascii="Arial" w:hAnsi="Arial"/>
                <w:sz w:val="16"/>
              </w:rPr>
              <w:t>130-180°C</w:t>
            </w:r>
          </w:p>
        </w:tc>
        <w:tc>
          <w:tcPr>
            <w:tcW w:type="dxa" w:w="1224"/>
          </w:tcPr>
          <w:p>
            <w:r/>
            <w:r>
              <w:rPr>
                <w:rFonts w:ascii="Arial" w:hAnsi="Arial"/>
                <w:sz w:val="16"/>
              </w:rPr>
              <w:t>120-160°C</w:t>
            </w:r>
          </w:p>
        </w:tc>
        <w:tc>
          <w:tcPr>
            <w:tcW w:type="dxa" w:w="1152"/>
          </w:tcPr>
          <w:p>
            <w:r/>
            <w:r>
              <w:rPr>
                <w:rFonts w:ascii="Arial" w:hAnsi="Arial"/>
                <w:sz w:val="16"/>
              </w:rPr>
              <w:t>150-180°C</w:t>
            </w:r>
          </w:p>
        </w:tc>
        <w:tc>
          <w:tcPr>
            <w:tcW w:type="dxa" w:w="1152"/>
          </w:tcPr>
          <w:p>
            <w:r/>
            <w:r>
              <w:rPr>
                <w:rFonts w:ascii="Arial" w:hAnsi="Arial"/>
                <w:sz w:val="16"/>
              </w:rPr>
              <w:t>180-235°C</w:t>
            </w:r>
          </w:p>
        </w:tc>
        <w:tc>
          <w:tcPr>
            <w:tcW w:type="dxa" w:w="1152"/>
          </w:tcPr>
          <w:p>
            <w:r/>
            <w:r>
              <w:rPr>
                <w:rFonts w:ascii="Arial" w:hAnsi="Arial"/>
                <w:sz w:val="16"/>
              </w:rPr>
              <w:t>Process-dependent</w:t>
            </w:r>
          </w:p>
        </w:tc>
        <w:tc>
          <w:tcPr>
            <w:tcW w:type="dxa" w:w="1152"/>
          </w:tcPr>
          <w:p>
            <w:r/>
            <w:r>
              <w:rPr>
                <w:rFonts w:ascii="Arial" w:hAnsi="Arial"/>
                <w:sz w:val="16"/>
              </w:rPr>
              <w:t>Metallization</w:t>
            </w:r>
          </w:p>
        </w:tc>
        <w:tc>
          <w:tcPr>
            <w:tcW w:type="dxa" w:w="1224"/>
          </w:tcPr>
          <w:p>
            <w:r/>
            <w:r>
              <w:rPr>
                <w:rFonts w:ascii="Arial" w:hAnsi="Arial"/>
                <w:sz w:val="16"/>
              </w:rPr>
              <w:t>NONE</w:t>
            </w:r>
          </w:p>
        </w:tc>
      </w:tr>
      <w:tr>
        <w:tc>
          <w:tcPr>
            <w:tcW w:type="dxa" w:w="1224"/>
            <w:shd w:fill="FEF2F2" w:val="clear"/>
          </w:tcPr>
          <w:p>
            <w:r/>
            <w:r>
              <w:rPr>
                <w:rFonts w:ascii="Arial" w:hAnsi="Arial"/>
                <w:sz w:val="16"/>
              </w:rPr>
              <w:t>VOC Emissions</w:t>
            </w:r>
          </w:p>
        </w:tc>
        <w:tc>
          <w:tcPr>
            <w:tcW w:type="dxa" w:w="1224"/>
            <w:shd w:fill="FEF2F2" w:val="clear"/>
          </w:tcPr>
          <w:p>
            <w:r/>
            <w:r>
              <w:rPr>
                <w:rFonts w:ascii="Arial" w:hAnsi="Arial"/>
                <w:sz w:val="16"/>
              </w:rPr>
              <w:t>From binder</w:t>
            </w:r>
          </w:p>
        </w:tc>
        <w:tc>
          <w:tcPr>
            <w:tcW w:type="dxa" w:w="1224"/>
            <w:shd w:fill="FEF2F2" w:val="clear"/>
          </w:tcPr>
          <w:p>
            <w:r/>
            <w:r>
              <w:rPr>
                <w:rFonts w:ascii="Arial" w:hAnsi="Arial"/>
                <w:sz w:val="16"/>
              </w:rPr>
              <w:t>Methanol + VOCs</w:t>
            </w:r>
          </w:p>
        </w:tc>
        <w:tc>
          <w:tcPr>
            <w:tcW w:type="dxa" w:w="1152"/>
            <w:shd w:fill="FEF2F2" w:val="clear"/>
          </w:tcPr>
          <w:p>
            <w:r/>
            <w:r>
              <w:rPr>
                <w:rFonts w:ascii="Arial" w:hAnsi="Arial"/>
                <w:sz w:val="16"/>
              </w:rPr>
              <w:t>From binders</w:t>
            </w:r>
          </w:p>
        </w:tc>
        <w:tc>
          <w:tcPr>
            <w:tcW w:type="dxa" w:w="1152"/>
            <w:shd w:fill="FEF2F2" w:val="clear"/>
          </w:tcPr>
          <w:p>
            <w:r/>
            <w:r>
              <w:rPr>
                <w:rFonts w:ascii="Arial" w:hAnsi="Arial"/>
                <w:sz w:val="16"/>
              </w:rPr>
              <w:t>From carrier</w:t>
            </w:r>
          </w:p>
        </w:tc>
        <w:tc>
          <w:tcPr>
            <w:tcW w:type="dxa" w:w="1152"/>
            <w:shd w:fill="FEF2F2" w:val="clear"/>
          </w:tcPr>
          <w:p>
            <w:r/>
            <w:r>
              <w:rPr>
                <w:rFonts w:ascii="Arial" w:hAnsi="Arial"/>
                <w:sz w:val="16"/>
              </w:rPr>
              <w:t>From process</w:t>
            </w:r>
          </w:p>
        </w:tc>
        <w:tc>
          <w:tcPr>
            <w:tcW w:type="dxa" w:w="1152"/>
            <w:shd w:fill="FEF2F2" w:val="clear"/>
          </w:tcPr>
          <w:p>
            <w:r/>
            <w:r>
              <w:rPr>
                <w:rFonts w:ascii="Arial" w:hAnsi="Arial"/>
                <w:sz w:val="16"/>
              </w:rPr>
              <w:t>From polymer</w:t>
            </w:r>
          </w:p>
        </w:tc>
        <w:tc>
          <w:tcPr>
            <w:tcW w:type="dxa" w:w="1224"/>
            <w:shd w:fill="FEF2F2" w:val="clear"/>
          </w:tcPr>
          <w:p>
            <w:r/>
            <w:r>
              <w:rPr>
                <w:rFonts w:ascii="Arial" w:hAnsi="Arial"/>
                <w:sz w:val="16"/>
              </w:rPr>
              <w:t>ZERO</w:t>
            </w:r>
          </w:p>
        </w:tc>
      </w:tr>
      <w:tr>
        <w:tc>
          <w:tcPr>
            <w:tcW w:type="dxa" w:w="1224"/>
          </w:tcPr>
          <w:p>
            <w:r/>
            <w:r>
              <w:rPr>
                <w:rFonts w:ascii="Arial" w:hAnsi="Arial"/>
                <w:sz w:val="16"/>
              </w:rPr>
              <w:t>Leaching</w:t>
            </w:r>
          </w:p>
        </w:tc>
        <w:tc>
          <w:tcPr>
            <w:tcW w:type="dxa" w:w="1224"/>
          </w:tcPr>
          <w:p>
            <w:r/>
            <w:r>
              <w:rPr>
                <w:rFonts w:ascii="Arial" w:hAnsi="Arial"/>
                <w:sz w:val="16"/>
              </w:rPr>
              <w:t>72% / 10 washes</w:t>
            </w:r>
          </w:p>
        </w:tc>
        <w:tc>
          <w:tcPr>
            <w:tcW w:type="dxa" w:w="1224"/>
          </w:tcPr>
          <w:p>
            <w:r/>
            <w:r>
              <w:rPr>
                <w:rFonts w:ascii="Arial" w:hAnsi="Arial"/>
                <w:sz w:val="16"/>
              </w:rPr>
              <w:t>55-81% / wash</w:t>
            </w:r>
          </w:p>
        </w:tc>
        <w:tc>
          <w:tcPr>
            <w:tcW w:type="dxa" w:w="1152"/>
          </w:tcPr>
          <w:p>
            <w:r/>
            <w:r>
              <w:rPr>
                <w:rFonts w:ascii="Arial" w:hAnsi="Arial"/>
                <w:sz w:val="16"/>
              </w:rPr>
              <w:t>Significant</w:t>
            </w:r>
          </w:p>
        </w:tc>
        <w:tc>
          <w:tcPr>
            <w:tcW w:type="dxa" w:w="1152"/>
          </w:tcPr>
          <w:p>
            <w:r/>
            <w:r>
              <w:rPr>
                <w:rFonts w:ascii="Arial" w:hAnsi="Arial"/>
                <w:sz w:val="16"/>
              </w:rPr>
              <w:t>Variable</w:t>
            </w:r>
          </w:p>
        </w:tc>
        <w:tc>
          <w:tcPr>
            <w:tcW w:type="dxa" w:w="1152"/>
          </w:tcPr>
          <w:p>
            <w:r/>
            <w:r>
              <w:rPr>
                <w:rFonts w:ascii="Arial" w:hAnsi="Arial"/>
                <w:sz w:val="16"/>
              </w:rPr>
              <w:t>Not disclosed</w:t>
            </w:r>
          </w:p>
        </w:tc>
        <w:tc>
          <w:tcPr>
            <w:tcW w:type="dxa" w:w="1152"/>
          </w:tcPr>
          <w:p>
            <w:r/>
            <w:r>
              <w:rPr>
                <w:rFonts w:ascii="Arial" w:hAnsi="Arial"/>
                <w:sz w:val="16"/>
              </w:rPr>
              <w:t>33-100% / 4-30 washes</w:t>
            </w:r>
          </w:p>
        </w:tc>
        <w:tc>
          <w:tcPr>
            <w:tcW w:type="dxa" w:w="1224"/>
          </w:tcPr>
          <w:p>
            <w:r/>
            <w:r>
              <w:rPr>
                <w:rFonts w:ascii="Arial" w:hAnsi="Arial"/>
                <w:sz w:val="16"/>
              </w:rPr>
              <w:t>ZERO</w:t>
            </w:r>
          </w:p>
        </w:tc>
      </w:tr>
      <w:tr>
        <w:tc>
          <w:tcPr>
            <w:tcW w:type="dxa" w:w="1224"/>
            <w:shd w:fill="FEF2F2" w:val="clear"/>
          </w:tcPr>
          <w:p>
            <w:r/>
            <w:r>
              <w:rPr>
                <w:rFonts w:ascii="Arial" w:hAnsi="Arial"/>
                <w:sz w:val="16"/>
              </w:rPr>
              <w:t>Aquatic LC50</w:t>
            </w:r>
          </w:p>
        </w:tc>
        <w:tc>
          <w:tcPr>
            <w:tcW w:type="dxa" w:w="1224"/>
            <w:shd w:fill="FEF2F2" w:val="clear"/>
          </w:tcPr>
          <w:p>
            <w:r/>
            <w:r>
              <w:rPr>
                <w:rFonts w:ascii="Arial" w:hAnsi="Arial"/>
                <w:sz w:val="16"/>
              </w:rPr>
              <w:t>1.9-5.3 ppb</w:t>
            </w:r>
          </w:p>
        </w:tc>
        <w:tc>
          <w:tcPr>
            <w:tcW w:type="dxa" w:w="1224"/>
            <w:shd w:fill="FEF2F2" w:val="clear"/>
          </w:tcPr>
          <w:p>
            <w:r/>
            <w:r>
              <w:rPr>
                <w:rFonts w:ascii="Arial" w:hAnsi="Arial"/>
                <w:sz w:val="16"/>
              </w:rPr>
              <w:t>10-14 µg/L</w:t>
            </w:r>
          </w:p>
        </w:tc>
        <w:tc>
          <w:tcPr>
            <w:tcW w:type="dxa" w:w="1152"/>
            <w:shd w:fill="FEF2F2" w:val="clear"/>
          </w:tcPr>
          <w:p>
            <w:r/>
            <w:r>
              <w:rPr>
                <w:rFonts w:ascii="Arial" w:hAnsi="Arial"/>
                <w:sz w:val="16"/>
              </w:rPr>
              <w:t>11-39 µg/L</w:t>
            </w:r>
          </w:p>
        </w:tc>
        <w:tc>
          <w:tcPr>
            <w:tcW w:type="dxa" w:w="1152"/>
            <w:shd w:fill="FEF2F2" w:val="clear"/>
          </w:tcPr>
          <w:p>
            <w:r/>
            <w:r>
              <w:rPr>
                <w:rFonts w:ascii="Arial" w:hAnsi="Arial"/>
                <w:sz w:val="16"/>
              </w:rPr>
              <w:t>Very toxic</w:t>
            </w:r>
          </w:p>
        </w:tc>
        <w:tc>
          <w:tcPr>
            <w:tcW w:type="dxa" w:w="1152"/>
            <w:shd w:fill="FEF2F2" w:val="clear"/>
          </w:tcPr>
          <w:p>
            <w:r/>
            <w:r>
              <w:rPr>
                <w:rFonts w:ascii="Arial" w:hAnsi="Arial"/>
                <w:sz w:val="16"/>
              </w:rPr>
              <w:t>Nanosilver toxic</w:t>
            </w:r>
          </w:p>
        </w:tc>
        <w:tc>
          <w:tcPr>
            <w:tcW w:type="dxa" w:w="1152"/>
            <w:shd w:fill="FEF2F2" w:val="clear"/>
          </w:tcPr>
          <w:p>
            <w:r/>
            <w:r>
              <w:rPr>
                <w:rFonts w:ascii="Arial" w:hAnsi="Arial"/>
                <w:sz w:val="16"/>
              </w:rPr>
              <w:t>1.9-5.3 ppb</w:t>
            </w:r>
          </w:p>
        </w:tc>
        <w:tc>
          <w:tcPr>
            <w:tcW w:type="dxa" w:w="1224"/>
            <w:shd w:fill="FEF2F2" w:val="clear"/>
          </w:tcPr>
          <w:p>
            <w:r/>
            <w:r>
              <w:rPr>
                <w:rFonts w:ascii="Arial" w:hAnsi="Arial"/>
                <w:sz w:val="16"/>
              </w:rPr>
              <w:t>No ionic release</w:t>
            </w:r>
          </w:p>
        </w:tc>
      </w:tr>
      <w:tr>
        <w:tc>
          <w:tcPr>
            <w:tcW w:type="dxa" w:w="1224"/>
          </w:tcPr>
          <w:p>
            <w:r/>
            <w:r>
              <w:rPr>
                <w:rFonts w:ascii="Arial" w:hAnsi="Arial"/>
                <w:sz w:val="16"/>
              </w:rPr>
              <w:t>Worker Risk</w:t>
            </w:r>
          </w:p>
        </w:tc>
        <w:tc>
          <w:tcPr>
            <w:tcW w:type="dxa" w:w="1224"/>
          </w:tcPr>
          <w:p>
            <w:r/>
            <w:r>
              <w:rPr>
                <w:rFonts w:ascii="Arial" w:hAnsi="Arial"/>
                <w:sz w:val="16"/>
              </w:rPr>
              <w:t>Respiratory</w:t>
            </w:r>
          </w:p>
        </w:tc>
        <w:tc>
          <w:tcPr>
            <w:tcW w:type="dxa" w:w="1224"/>
          </w:tcPr>
          <w:p>
            <w:r/>
            <w:r>
              <w:rPr>
                <w:rFonts w:ascii="Arial" w:hAnsi="Arial"/>
                <w:sz w:val="16"/>
              </w:rPr>
              <w:t>Asthma/COPD</w:t>
            </w:r>
          </w:p>
        </w:tc>
        <w:tc>
          <w:tcPr>
            <w:tcW w:type="dxa" w:w="1152"/>
          </w:tcPr>
          <w:p>
            <w:r/>
            <w:r>
              <w:rPr>
                <w:rFonts w:ascii="Arial" w:hAnsi="Arial"/>
                <w:sz w:val="16"/>
              </w:rPr>
              <w:t>Lung inflammation</w:t>
            </w:r>
          </w:p>
        </w:tc>
        <w:tc>
          <w:tcPr>
            <w:tcW w:type="dxa" w:w="1152"/>
          </w:tcPr>
          <w:p>
            <w:r/>
            <w:r>
              <w:rPr>
                <w:rFonts w:ascii="Arial" w:hAnsi="Arial"/>
                <w:sz w:val="16"/>
              </w:rPr>
              <w:t>FATAL (H330)</w:t>
            </w:r>
          </w:p>
        </w:tc>
        <w:tc>
          <w:tcPr>
            <w:tcW w:type="dxa" w:w="1152"/>
          </w:tcPr>
          <w:p>
            <w:r/>
            <w:r>
              <w:rPr>
                <w:rFonts w:ascii="Arial" w:hAnsi="Arial"/>
                <w:sz w:val="16"/>
              </w:rPr>
              <w:t>Eggs/sperm toxic</w:t>
            </w:r>
          </w:p>
        </w:tc>
        <w:tc>
          <w:tcPr>
            <w:tcW w:type="dxa" w:w="1152"/>
          </w:tcPr>
          <w:p>
            <w:r/>
            <w:r>
              <w:rPr>
                <w:rFonts w:ascii="Arial" w:hAnsi="Arial"/>
                <w:sz w:val="16"/>
              </w:rPr>
              <w:t>Argyria</w:t>
            </w:r>
          </w:p>
        </w:tc>
        <w:tc>
          <w:tcPr>
            <w:tcW w:type="dxa" w:w="1224"/>
          </w:tcPr>
          <w:p>
            <w:r/>
            <w:r>
              <w:rPr>
                <w:rFonts w:ascii="Arial" w:hAnsi="Arial"/>
                <w:sz w:val="16"/>
              </w:rPr>
              <w:t>No hazard</w:t>
            </w:r>
          </w:p>
        </w:tc>
      </w:tr>
      <w:tr>
        <w:tc>
          <w:tcPr>
            <w:tcW w:type="dxa" w:w="1224"/>
            <w:shd w:fill="FEF2F2" w:val="clear"/>
          </w:tcPr>
          <w:p>
            <w:r/>
            <w:r>
              <w:rPr>
                <w:rFonts w:ascii="Arial" w:hAnsi="Arial"/>
                <w:sz w:val="16"/>
              </w:rPr>
              <w:t>EPA Data Age</w:t>
            </w:r>
          </w:p>
        </w:tc>
        <w:tc>
          <w:tcPr>
            <w:tcW w:type="dxa" w:w="1224"/>
            <w:shd w:fill="FEF2F2" w:val="clear"/>
          </w:tcPr>
          <w:p>
            <w:r/>
            <w:r>
              <w:rPr>
                <w:rFonts w:ascii="Arial" w:hAnsi="Arial"/>
                <w:sz w:val="16"/>
              </w:rPr>
              <w:t>1983-84</w:t>
            </w:r>
          </w:p>
        </w:tc>
        <w:tc>
          <w:tcPr>
            <w:tcW w:type="dxa" w:w="1224"/>
            <w:shd w:fill="FEF2F2" w:val="clear"/>
          </w:tcPr>
          <w:p>
            <w:r/>
            <w:r>
              <w:rPr>
                <w:rFonts w:ascii="Arial" w:hAnsi="Arial"/>
                <w:sz w:val="16"/>
              </w:rPr>
              <w:t>1990s</w:t>
            </w:r>
          </w:p>
        </w:tc>
        <w:tc>
          <w:tcPr>
            <w:tcW w:type="dxa" w:w="1152"/>
            <w:shd w:fill="FEF2F2" w:val="clear"/>
          </w:tcPr>
          <w:p>
            <w:r/>
            <w:r>
              <w:rPr>
                <w:rFonts w:ascii="Arial" w:hAnsi="Arial"/>
                <w:sz w:val="16"/>
              </w:rPr>
              <w:t>Various</w:t>
            </w:r>
          </w:p>
        </w:tc>
        <w:tc>
          <w:tcPr>
            <w:tcW w:type="dxa" w:w="1152"/>
            <w:shd w:fill="FEF2F2" w:val="clear"/>
          </w:tcPr>
          <w:p>
            <w:r/>
            <w:r>
              <w:rPr>
                <w:rFonts w:ascii="Arial" w:hAnsi="Arial"/>
                <w:sz w:val="16"/>
              </w:rPr>
              <w:t>Under review</w:t>
            </w:r>
          </w:p>
        </w:tc>
        <w:tc>
          <w:tcPr>
            <w:tcW w:type="dxa" w:w="1152"/>
            <w:shd w:fill="FEF2F2" w:val="clear"/>
          </w:tcPr>
          <w:p>
            <w:r/>
            <w:r>
              <w:rPr>
                <w:rFonts w:ascii="Arial" w:hAnsi="Arial"/>
                <w:sz w:val="16"/>
              </w:rPr>
              <w:t>2011 conditional</w:t>
            </w:r>
          </w:p>
        </w:tc>
        <w:tc>
          <w:tcPr>
            <w:tcW w:type="dxa" w:w="1152"/>
            <w:shd w:fill="FEF2F2" w:val="clear"/>
          </w:tcPr>
          <w:p>
            <w:r/>
            <w:r>
              <w:rPr>
                <w:rFonts w:ascii="Arial" w:hAnsi="Arial"/>
                <w:sz w:val="16"/>
              </w:rPr>
              <w:t>Not published</w:t>
            </w:r>
          </w:p>
        </w:tc>
        <w:tc>
          <w:tcPr>
            <w:tcW w:type="dxa" w:w="1224"/>
            <w:shd w:fill="FEF2F2" w:val="clear"/>
          </w:tcPr>
          <w:p>
            <w:r/>
            <w:r>
              <w:rPr>
                <w:rFonts w:ascii="Arial" w:hAnsi="Arial"/>
                <w:sz w:val="16"/>
              </w:rPr>
              <w:t>Modern PRIA 6</w:t>
            </w:r>
          </w:p>
        </w:tc>
      </w:tr>
      <w:tr>
        <w:tc>
          <w:tcPr>
            <w:tcW w:type="dxa" w:w="1224"/>
          </w:tcPr>
          <w:p>
            <w:r/>
            <w:r>
              <w:rPr>
                <w:rFonts w:ascii="Arial" w:hAnsi="Arial"/>
                <w:sz w:val="16"/>
              </w:rPr>
              <w:t>Wastewater</w:t>
            </w:r>
          </w:p>
        </w:tc>
        <w:tc>
          <w:tcPr>
            <w:tcW w:type="dxa" w:w="1224"/>
          </w:tcPr>
          <w:p>
            <w:r/>
            <w:r>
              <w:rPr>
                <w:rFonts w:ascii="Arial" w:hAnsi="Arial"/>
                <w:sz w:val="16"/>
              </w:rPr>
              <w:t>Multi-stage</w:t>
            </w:r>
          </w:p>
        </w:tc>
        <w:tc>
          <w:tcPr>
            <w:tcW w:type="dxa" w:w="1224"/>
          </w:tcPr>
          <w:p>
            <w:r/>
            <w:r>
              <w:rPr>
                <w:rFonts w:ascii="Arial" w:hAnsi="Arial"/>
                <w:sz w:val="16"/>
              </w:rPr>
              <w:t>MBBR + sorption</w:t>
            </w:r>
          </w:p>
        </w:tc>
        <w:tc>
          <w:tcPr>
            <w:tcW w:type="dxa" w:w="1152"/>
          </w:tcPr>
          <w:p>
            <w:r/>
            <w:r>
              <w:rPr>
                <w:rFonts w:ascii="Arial" w:hAnsi="Arial"/>
                <w:sz w:val="16"/>
              </w:rPr>
              <w:t>Multi-method</w:t>
            </w:r>
          </w:p>
        </w:tc>
        <w:tc>
          <w:tcPr>
            <w:tcW w:type="dxa" w:w="1152"/>
          </w:tcPr>
          <w:p>
            <w:r/>
            <w:r>
              <w:rPr>
                <w:rFonts w:ascii="Arial" w:hAnsi="Arial"/>
                <w:sz w:val="16"/>
              </w:rPr>
              <w:t>SRB + precip</w:t>
            </w:r>
          </w:p>
        </w:tc>
        <w:tc>
          <w:tcPr>
            <w:tcW w:type="dxa" w:w="1152"/>
          </w:tcPr>
          <w:p>
            <w:r/>
            <w:r>
              <w:rPr>
                <w:rFonts w:ascii="Arial" w:hAnsi="Arial"/>
                <w:sz w:val="16"/>
              </w:rPr>
              <w:t>Silver precip</w:t>
            </w:r>
          </w:p>
        </w:tc>
        <w:tc>
          <w:tcPr>
            <w:tcW w:type="dxa" w:w="1152"/>
          </w:tcPr>
          <w:p>
            <w:r/>
            <w:r>
              <w:rPr>
                <w:rFonts w:ascii="Arial" w:hAnsi="Arial"/>
                <w:sz w:val="16"/>
              </w:rPr>
              <w:t>Silver precip</w:t>
            </w:r>
          </w:p>
        </w:tc>
        <w:tc>
          <w:tcPr>
            <w:tcW w:type="dxa" w:w="1224"/>
          </w:tcPr>
          <w:p>
            <w:r/>
            <w:r>
              <w:rPr>
                <w:rFonts w:ascii="Arial" w:hAnsi="Arial"/>
                <w:sz w:val="16"/>
              </w:rPr>
              <w:t>NOTHING</w:t>
            </w:r>
          </w:p>
        </w:tc>
      </w:tr>
      <w:tr>
        <w:tc>
          <w:tcPr>
            <w:tcW w:type="dxa" w:w="1224"/>
            <w:shd w:fill="FEF2F2" w:val="clear"/>
          </w:tcPr>
          <w:p>
            <w:r/>
            <w:r>
              <w:rPr>
                <w:rFonts w:ascii="Arial" w:hAnsi="Arial"/>
                <w:sz w:val="16"/>
              </w:rPr>
              <w:t>Raw Material</w:t>
            </w:r>
          </w:p>
        </w:tc>
        <w:tc>
          <w:tcPr>
            <w:tcW w:type="dxa" w:w="1224"/>
            <w:shd w:fill="FEF2F2" w:val="clear"/>
          </w:tcPr>
          <w:p>
            <w:r/>
            <w:r>
              <w:rPr>
                <w:rFonts w:ascii="Arial" w:hAnsi="Arial"/>
                <w:sz w:val="16"/>
              </w:rPr>
              <w:t>Mined ore</w:t>
            </w:r>
          </w:p>
        </w:tc>
        <w:tc>
          <w:tcPr>
            <w:tcW w:type="dxa" w:w="1224"/>
            <w:shd w:fill="FEF2F2" w:val="clear"/>
          </w:tcPr>
          <w:p>
            <w:r/>
            <w:r>
              <w:rPr>
                <w:rFonts w:ascii="Arial" w:hAnsi="Arial"/>
                <w:sz w:val="16"/>
              </w:rPr>
              <w:t>Petroleum</w:t>
            </w:r>
          </w:p>
        </w:tc>
        <w:tc>
          <w:tcPr>
            <w:tcW w:type="dxa" w:w="1152"/>
            <w:shd w:fill="FEF2F2" w:val="clear"/>
          </w:tcPr>
          <w:p>
            <w:r/>
            <w:r>
              <w:rPr>
                <w:rFonts w:ascii="Arial" w:hAnsi="Arial"/>
                <w:sz w:val="16"/>
              </w:rPr>
              <w:t>Mined copper</w:t>
            </w:r>
          </w:p>
        </w:tc>
        <w:tc>
          <w:tcPr>
            <w:tcW w:type="dxa" w:w="1152"/>
            <w:shd w:fill="FEF2F2" w:val="clear"/>
          </w:tcPr>
          <w:p>
            <w:r/>
            <w:r>
              <w:rPr>
                <w:rFonts w:ascii="Arial" w:hAnsi="Arial"/>
                <w:sz w:val="16"/>
              </w:rPr>
              <w:t>Zinc salts</w:t>
            </w:r>
          </w:p>
        </w:tc>
        <w:tc>
          <w:tcPr>
            <w:tcW w:type="dxa" w:w="1152"/>
            <w:shd w:fill="FEF2F2" w:val="clear"/>
          </w:tcPr>
          <w:p>
            <w:r/>
            <w:r>
              <w:rPr>
                <w:rFonts w:ascii="Arial" w:hAnsi="Arial"/>
                <w:sz w:val="16"/>
              </w:rPr>
              <w:t>Silver nitrate</w:t>
            </w:r>
          </w:p>
        </w:tc>
        <w:tc>
          <w:tcPr>
            <w:tcW w:type="dxa" w:w="1152"/>
            <w:shd w:fill="FEF2F2" w:val="clear"/>
          </w:tcPr>
          <w:p>
            <w:r/>
            <w:r>
              <w:rPr>
                <w:rFonts w:ascii="Arial" w:hAnsi="Arial"/>
                <w:sz w:val="16"/>
              </w:rPr>
              <w:t>Pure silver</w:t>
            </w:r>
          </w:p>
        </w:tc>
        <w:tc>
          <w:tcPr>
            <w:tcW w:type="dxa" w:w="1224"/>
            <w:shd w:fill="FEF2F2" w:val="clear"/>
          </w:tcPr>
          <w:p>
            <w:r/>
            <w:r>
              <w:rPr>
                <w:rFonts w:ascii="Arial" w:hAnsi="Arial"/>
                <w:sz w:val="16"/>
              </w:rPr>
              <w:t>Recycled electronics</w:t>
            </w:r>
          </w:p>
        </w:tc>
      </w:tr>
      <w:tr>
        <w:tc>
          <w:tcPr>
            <w:tcW w:type="dxa" w:w="1224"/>
          </w:tcPr>
          <w:p>
            <w:r/>
            <w:r>
              <w:rPr>
                <w:rFonts w:ascii="Arial" w:hAnsi="Arial"/>
                <w:sz w:val="16"/>
              </w:rPr>
              <w:t>Production</w:t>
            </w:r>
          </w:p>
        </w:tc>
        <w:tc>
          <w:tcPr>
            <w:tcW w:type="dxa" w:w="1224"/>
          </w:tcPr>
          <w:p>
            <w:r/>
            <w:r>
              <w:rPr>
                <w:rFonts w:ascii="Arial" w:hAnsi="Arial"/>
                <w:sz w:val="16"/>
              </w:rPr>
              <w:t>Chemical plant</w:t>
            </w:r>
          </w:p>
        </w:tc>
        <w:tc>
          <w:tcPr>
            <w:tcW w:type="dxa" w:w="1224"/>
          </w:tcPr>
          <w:p>
            <w:r/>
            <w:r>
              <w:rPr>
                <w:rFonts w:ascii="Arial" w:hAnsi="Arial"/>
                <w:sz w:val="16"/>
              </w:rPr>
              <w:t>Chemical synthesis</w:t>
            </w:r>
          </w:p>
        </w:tc>
        <w:tc>
          <w:tcPr>
            <w:tcW w:type="dxa" w:w="1152"/>
          </w:tcPr>
          <w:p>
            <w:r/>
            <w:r>
              <w:rPr>
                <w:rFonts w:ascii="Arial" w:hAnsi="Arial"/>
                <w:sz w:val="16"/>
              </w:rPr>
              <w:t>Chemical synthesis</w:t>
            </w:r>
          </w:p>
        </w:tc>
        <w:tc>
          <w:tcPr>
            <w:tcW w:type="dxa" w:w="1152"/>
          </w:tcPr>
          <w:p>
            <w:r/>
            <w:r>
              <w:rPr>
                <w:rFonts w:ascii="Arial" w:hAnsi="Arial"/>
                <w:sz w:val="16"/>
              </w:rPr>
              <w:t>Chemical synthesis</w:t>
            </w:r>
          </w:p>
        </w:tc>
        <w:tc>
          <w:tcPr>
            <w:tcW w:type="dxa" w:w="1152"/>
          </w:tcPr>
          <w:p>
            <w:r/>
            <w:r>
              <w:rPr>
                <w:rFonts w:ascii="Arial" w:hAnsi="Arial"/>
                <w:sz w:val="16"/>
              </w:rPr>
              <w:t>Flame spray pyrolysis</w:t>
            </w:r>
          </w:p>
        </w:tc>
        <w:tc>
          <w:tcPr>
            <w:tcW w:type="dxa" w:w="1152"/>
          </w:tcPr>
          <w:p>
            <w:r/>
            <w:r>
              <w:rPr>
                <w:rFonts w:ascii="Arial" w:hAnsi="Arial"/>
                <w:sz w:val="16"/>
              </w:rPr>
              <w:t>Metallizing plant</w:t>
            </w:r>
          </w:p>
        </w:tc>
        <w:tc>
          <w:tcPr>
            <w:tcW w:type="dxa" w:w="1224"/>
          </w:tcPr>
          <w:p>
            <w:r/>
            <w:r>
              <w:rPr>
                <w:rFonts w:ascii="Arial" w:hAnsi="Arial"/>
                <w:sz w:val="16"/>
              </w:rPr>
              <w:t>30A laser, 1m²</w:t>
            </w:r>
          </w:p>
        </w:tc>
      </w:tr>
    </w:tbl>
    <w:p/>
    <w:p>
      <w:r>
        <w:br w:type="page"/>
      </w:r>
    </w:p>
    <w:p>
      <w:pPr>
        <w:pStyle w:val="Heading1"/>
      </w:pPr>
      <w:r>
        <w:t>9. PRIA 6 Modern Testing vs. Grandfathered Registrations</w:t>
      </w:r>
    </w:p>
    <w:p>
      <w:r>
        <w:t>The Pesticide Registration Improvement Act (PRIA 6) establishes modern safety testing requirements for new antimicrobial pesticide registrations. FUZE completed this full battery of testing. Here is what FUZE's competitors have never been required to provide: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880"/>
            <w:shd w:fill="0D473B" w:val="clear"/>
          </w:tcPr>
          <w:p>
            <w:r/>
            <w:r>
              <w:rPr>
                <w:rFonts w:ascii="Arial" w:hAnsi="Arial"/>
                <w:b/>
                <w:color w:val="FFFFFF"/>
                <w:sz w:val="16"/>
              </w:rPr>
              <w:t>Safety Study</w:t>
            </w:r>
          </w:p>
        </w:tc>
        <w:tc>
          <w:tcPr>
            <w:tcW w:type="dxa" w:w="2160"/>
            <w:shd w:fill="0D473B" w:val="clear"/>
          </w:tcPr>
          <w:p>
            <w:r/>
            <w:r>
              <w:rPr>
                <w:rFonts w:ascii="Arial" w:hAnsi="Arial"/>
                <w:b/>
                <w:color w:val="FFFFFF"/>
                <w:sz w:val="16"/>
              </w:rPr>
              <w:t>PRIA 6 Requirement</w:t>
            </w:r>
          </w:p>
        </w:tc>
        <w:tc>
          <w:tcPr>
            <w:tcW w:type="dxa" w:w="2160"/>
            <w:shd w:fill="0D473B" w:val="clear"/>
          </w:tcPr>
          <w:p>
            <w:r/>
            <w:r>
              <w:rPr>
                <w:rFonts w:ascii="Arial" w:hAnsi="Arial"/>
                <w:b/>
                <w:color w:val="FFFFFF"/>
                <w:sz w:val="16"/>
              </w:rPr>
              <w:t>Grandfathered (Pre-1996)</w:t>
            </w:r>
          </w:p>
        </w:tc>
        <w:tc>
          <w:tcPr>
            <w:tcW w:type="dxa" w:w="2448"/>
            <w:shd w:fill="0D473B" w:val="clear"/>
          </w:tcPr>
          <w:p>
            <w:r/>
            <w:r>
              <w:rPr>
                <w:rFonts w:ascii="Arial" w:hAnsi="Arial"/>
                <w:b/>
                <w:color w:val="FFFFFF"/>
                <w:sz w:val="16"/>
              </w:rPr>
              <w:t>FUZE Status</w:t>
            </w:r>
          </w:p>
        </w:tc>
      </w:tr>
      <w:tr>
        <w:tc>
          <w:tcPr>
            <w:tcW w:type="dxa" w:w="2880"/>
          </w:tcPr>
          <w:p>
            <w:r/>
            <w:r>
              <w:rPr>
                <w:rFonts w:ascii="Arial" w:hAnsi="Arial"/>
                <w:sz w:val="16"/>
              </w:rPr>
              <w:t>Chronic toxicity (90-day)</w:t>
            </w:r>
          </w:p>
        </w:tc>
        <w:tc>
          <w:tcPr>
            <w:tcW w:type="dxa" w:w="2160"/>
          </w:tcPr>
          <w:p>
            <w:r/>
            <w:r>
              <w:rPr>
                <w:rFonts w:ascii="Arial" w:hAnsi="Arial"/>
                <w:sz w:val="16"/>
              </w:rPr>
              <w:t>REQUIRED</w:t>
            </w:r>
          </w:p>
        </w:tc>
        <w:tc>
          <w:tcPr>
            <w:tcW w:type="dxa" w:w="2160"/>
          </w:tcPr>
          <w:p>
            <w:r/>
            <w:r>
              <w:rPr>
                <w:rFonts w:ascii="Arial" w:hAnsi="Arial"/>
                <w:sz w:val="16"/>
              </w:rPr>
              <w:t>NOT REQUIRED</w:t>
            </w:r>
          </w:p>
        </w:tc>
        <w:tc>
          <w:tcPr>
            <w:tcW w:type="dxa" w:w="2448"/>
          </w:tcPr>
          <w:p>
            <w:r/>
            <w:r>
              <w:rPr>
                <w:rFonts w:ascii="Arial" w:hAnsi="Arial"/>
                <w:sz w:val="16"/>
              </w:rPr>
              <w:t>COMPLETED</w:t>
            </w:r>
          </w:p>
        </w:tc>
      </w:tr>
      <w:tr>
        <w:tc>
          <w:tcPr>
            <w:tcW w:type="dxa" w:w="2880"/>
            <w:shd w:fill="FEF2F2" w:val="clear"/>
          </w:tcPr>
          <w:p>
            <w:r/>
            <w:r>
              <w:rPr>
                <w:rFonts w:ascii="Arial" w:hAnsi="Arial"/>
                <w:sz w:val="16"/>
              </w:rPr>
              <w:t>1-year chronic dog study</w:t>
            </w:r>
          </w:p>
        </w:tc>
        <w:tc>
          <w:tcPr>
            <w:tcW w:type="dxa" w:w="2160"/>
            <w:shd w:fill="FEF2F2" w:val="clear"/>
          </w:tcPr>
          <w:p>
            <w:r/>
            <w:r>
              <w:rPr>
                <w:rFonts w:ascii="Arial" w:hAnsi="Arial"/>
                <w:sz w:val="16"/>
              </w:rPr>
              <w:t>REQUIRED</w:t>
            </w:r>
          </w:p>
        </w:tc>
        <w:tc>
          <w:tcPr>
            <w:tcW w:type="dxa" w:w="2160"/>
            <w:shd w:fill="FEF2F2" w:val="clear"/>
          </w:tcPr>
          <w:p>
            <w:r/>
            <w:r>
              <w:rPr>
                <w:rFonts w:ascii="Arial" w:hAnsi="Arial"/>
                <w:sz w:val="16"/>
              </w:rPr>
              <w:t>NOT REQUIRED</w:t>
            </w:r>
          </w:p>
        </w:tc>
        <w:tc>
          <w:tcPr>
            <w:tcW w:type="dxa" w:w="2448"/>
            <w:shd w:fill="FEF2F2" w:val="clear"/>
          </w:tcPr>
          <w:p>
            <w:r/>
            <w:r>
              <w:rPr>
                <w:rFonts w:ascii="Arial" w:hAnsi="Arial"/>
                <w:sz w:val="16"/>
              </w:rPr>
              <w:t>COMPLETED</w:t>
            </w:r>
          </w:p>
        </w:tc>
      </w:tr>
      <w:tr>
        <w:tc>
          <w:tcPr>
            <w:tcW w:type="dxa" w:w="2880"/>
          </w:tcPr>
          <w:p>
            <w:r/>
            <w:r>
              <w:rPr>
                <w:rFonts w:ascii="Arial" w:hAnsi="Arial"/>
                <w:sz w:val="16"/>
              </w:rPr>
              <w:t>Two-generation reproductive toxicity (rat)</w:t>
            </w:r>
          </w:p>
        </w:tc>
        <w:tc>
          <w:tcPr>
            <w:tcW w:type="dxa" w:w="2160"/>
          </w:tcPr>
          <w:p>
            <w:r/>
            <w:r>
              <w:rPr>
                <w:rFonts w:ascii="Arial" w:hAnsi="Arial"/>
                <w:sz w:val="16"/>
              </w:rPr>
              <w:t>REQUIRED</w:t>
            </w:r>
          </w:p>
        </w:tc>
        <w:tc>
          <w:tcPr>
            <w:tcW w:type="dxa" w:w="2160"/>
          </w:tcPr>
          <w:p>
            <w:r/>
            <w:r>
              <w:rPr>
                <w:rFonts w:ascii="Arial" w:hAnsi="Arial"/>
                <w:sz w:val="16"/>
              </w:rPr>
              <w:t>NOT REQUIRED</w:t>
            </w:r>
          </w:p>
        </w:tc>
        <w:tc>
          <w:tcPr>
            <w:tcW w:type="dxa" w:w="2448"/>
          </w:tcPr>
          <w:p>
            <w:r/>
            <w:r>
              <w:rPr>
                <w:rFonts w:ascii="Arial" w:hAnsi="Arial"/>
                <w:sz w:val="16"/>
              </w:rPr>
              <w:t>COMPLETED</w:t>
            </w:r>
          </w:p>
        </w:tc>
      </w:tr>
      <w:tr>
        <w:tc>
          <w:tcPr>
            <w:tcW w:type="dxa" w:w="2880"/>
            <w:shd w:fill="FEF2F2" w:val="clear"/>
          </w:tcPr>
          <w:p>
            <w:r/>
            <w:r>
              <w:rPr>
                <w:rFonts w:ascii="Arial" w:hAnsi="Arial"/>
                <w:sz w:val="16"/>
              </w:rPr>
              <w:t>Developmental toxicity (rabbit + rat)</w:t>
            </w:r>
          </w:p>
        </w:tc>
        <w:tc>
          <w:tcPr>
            <w:tcW w:type="dxa" w:w="2160"/>
            <w:shd w:fill="FEF2F2" w:val="clear"/>
          </w:tcPr>
          <w:p>
            <w:r/>
            <w:r>
              <w:rPr>
                <w:rFonts w:ascii="Arial" w:hAnsi="Arial"/>
                <w:sz w:val="16"/>
              </w:rPr>
              <w:t>REQUIRED</w:t>
            </w:r>
          </w:p>
        </w:tc>
        <w:tc>
          <w:tcPr>
            <w:tcW w:type="dxa" w:w="2160"/>
            <w:shd w:fill="FEF2F2" w:val="clear"/>
          </w:tcPr>
          <w:p>
            <w:r/>
            <w:r>
              <w:rPr>
                <w:rFonts w:ascii="Arial" w:hAnsi="Arial"/>
                <w:sz w:val="16"/>
              </w:rPr>
              <w:t>NOT REQUIRED</w:t>
            </w:r>
          </w:p>
        </w:tc>
        <w:tc>
          <w:tcPr>
            <w:tcW w:type="dxa" w:w="2448"/>
            <w:shd w:fill="FEF2F2" w:val="clear"/>
          </w:tcPr>
          <w:p>
            <w:r/>
            <w:r>
              <w:rPr>
                <w:rFonts w:ascii="Arial" w:hAnsi="Arial"/>
                <w:sz w:val="16"/>
              </w:rPr>
              <w:t>COMPLETED</w:t>
            </w:r>
          </w:p>
        </w:tc>
      </w:tr>
      <w:tr>
        <w:tc>
          <w:tcPr>
            <w:tcW w:type="dxa" w:w="2880"/>
          </w:tcPr>
          <w:p>
            <w:r/>
            <w:r>
              <w:rPr>
                <w:rFonts w:ascii="Arial" w:hAnsi="Arial"/>
                <w:sz w:val="16"/>
              </w:rPr>
              <w:t>Neurotoxicity screening battery</w:t>
            </w:r>
          </w:p>
        </w:tc>
        <w:tc>
          <w:tcPr>
            <w:tcW w:type="dxa" w:w="2160"/>
          </w:tcPr>
          <w:p>
            <w:r/>
            <w:r>
              <w:rPr>
                <w:rFonts w:ascii="Arial" w:hAnsi="Arial"/>
                <w:sz w:val="16"/>
              </w:rPr>
              <w:t>REQUIRED</w:t>
            </w:r>
          </w:p>
        </w:tc>
        <w:tc>
          <w:tcPr>
            <w:tcW w:type="dxa" w:w="2160"/>
          </w:tcPr>
          <w:p>
            <w:r/>
            <w:r>
              <w:rPr>
                <w:rFonts w:ascii="Arial" w:hAnsi="Arial"/>
                <w:sz w:val="16"/>
              </w:rPr>
              <w:t>NOT REQUIRED</w:t>
            </w:r>
          </w:p>
        </w:tc>
        <w:tc>
          <w:tcPr>
            <w:tcW w:type="dxa" w:w="2448"/>
          </w:tcPr>
          <w:p>
            <w:r/>
            <w:r>
              <w:rPr>
                <w:rFonts w:ascii="Arial" w:hAnsi="Arial"/>
                <w:sz w:val="16"/>
              </w:rPr>
              <w:t>COMPLETED</w:t>
            </w:r>
          </w:p>
        </w:tc>
      </w:tr>
      <w:tr>
        <w:tc>
          <w:tcPr>
            <w:tcW w:type="dxa" w:w="2880"/>
            <w:shd w:fill="FEF2F2" w:val="clear"/>
          </w:tcPr>
          <w:p>
            <w:r/>
            <w:r>
              <w:rPr>
                <w:rFonts w:ascii="Arial" w:hAnsi="Arial"/>
                <w:sz w:val="16"/>
              </w:rPr>
              <w:t>Subchronic neurotoxicity study</w:t>
            </w:r>
          </w:p>
        </w:tc>
        <w:tc>
          <w:tcPr>
            <w:tcW w:type="dxa" w:w="2160"/>
            <w:shd w:fill="FEF2F2" w:val="clear"/>
          </w:tcPr>
          <w:p>
            <w:r/>
            <w:r>
              <w:rPr>
                <w:rFonts w:ascii="Arial" w:hAnsi="Arial"/>
                <w:sz w:val="16"/>
              </w:rPr>
              <w:t>REQUIRED</w:t>
            </w:r>
          </w:p>
        </w:tc>
        <w:tc>
          <w:tcPr>
            <w:tcW w:type="dxa" w:w="2160"/>
            <w:shd w:fill="FEF2F2" w:val="clear"/>
          </w:tcPr>
          <w:p>
            <w:r/>
            <w:r>
              <w:rPr>
                <w:rFonts w:ascii="Arial" w:hAnsi="Arial"/>
                <w:sz w:val="16"/>
              </w:rPr>
              <w:t>NOT REQUIRED</w:t>
            </w:r>
          </w:p>
        </w:tc>
        <w:tc>
          <w:tcPr>
            <w:tcW w:type="dxa" w:w="2448"/>
            <w:shd w:fill="FEF2F2" w:val="clear"/>
          </w:tcPr>
          <w:p>
            <w:r/>
            <w:r>
              <w:rPr>
                <w:rFonts w:ascii="Arial" w:hAnsi="Arial"/>
                <w:sz w:val="16"/>
              </w:rPr>
              <w:t>COMPLETED</w:t>
            </w:r>
          </w:p>
        </w:tc>
      </w:tr>
      <w:tr>
        <w:tc>
          <w:tcPr>
            <w:tcW w:type="dxa" w:w="2880"/>
          </w:tcPr>
          <w:p>
            <w:r/>
            <w:r>
              <w:rPr>
                <w:rFonts w:ascii="Arial" w:hAnsi="Arial"/>
                <w:sz w:val="16"/>
              </w:rPr>
              <w:t>Endocrine disruption screening</w:t>
            </w:r>
          </w:p>
        </w:tc>
        <w:tc>
          <w:tcPr>
            <w:tcW w:type="dxa" w:w="2160"/>
          </w:tcPr>
          <w:p>
            <w:r/>
            <w:r>
              <w:rPr>
                <w:rFonts w:ascii="Arial" w:hAnsi="Arial"/>
                <w:sz w:val="16"/>
              </w:rPr>
              <w:t>REQUIRED</w:t>
            </w:r>
          </w:p>
        </w:tc>
        <w:tc>
          <w:tcPr>
            <w:tcW w:type="dxa" w:w="2160"/>
          </w:tcPr>
          <w:p>
            <w:r/>
            <w:r>
              <w:rPr>
                <w:rFonts w:ascii="Arial" w:hAnsi="Arial"/>
                <w:sz w:val="16"/>
              </w:rPr>
              <w:t>NOT REQUIRED</w:t>
            </w:r>
          </w:p>
        </w:tc>
        <w:tc>
          <w:tcPr>
            <w:tcW w:type="dxa" w:w="2448"/>
          </w:tcPr>
          <w:p>
            <w:r/>
            <w:r>
              <w:rPr>
                <w:rFonts w:ascii="Arial" w:hAnsi="Arial"/>
                <w:sz w:val="16"/>
              </w:rPr>
              <w:t>COMPLETED</w:t>
            </w:r>
          </w:p>
        </w:tc>
      </w:tr>
      <w:tr>
        <w:tc>
          <w:tcPr>
            <w:tcW w:type="dxa" w:w="2880"/>
            <w:shd w:fill="FEF2F2" w:val="clear"/>
          </w:tcPr>
          <w:p>
            <w:r/>
            <w:r>
              <w:rPr>
                <w:rFonts w:ascii="Arial" w:hAnsi="Arial"/>
                <w:sz w:val="16"/>
              </w:rPr>
              <w:t>Complete environmental fate</w:t>
            </w:r>
          </w:p>
        </w:tc>
        <w:tc>
          <w:tcPr>
            <w:tcW w:type="dxa" w:w="2160"/>
            <w:shd w:fill="FEF2F2" w:val="clear"/>
          </w:tcPr>
          <w:p>
            <w:r/>
            <w:r>
              <w:rPr>
                <w:rFonts w:ascii="Arial" w:hAnsi="Arial"/>
                <w:sz w:val="16"/>
              </w:rPr>
              <w:t>REQUIRED</w:t>
            </w:r>
          </w:p>
        </w:tc>
        <w:tc>
          <w:tcPr>
            <w:tcW w:type="dxa" w:w="2160"/>
            <w:shd w:fill="FEF2F2" w:val="clear"/>
          </w:tcPr>
          <w:p>
            <w:r/>
            <w:r>
              <w:rPr>
                <w:rFonts w:ascii="Arial" w:hAnsi="Arial"/>
                <w:sz w:val="16"/>
              </w:rPr>
              <w:t>NOT REQUIRED</w:t>
            </w:r>
          </w:p>
        </w:tc>
        <w:tc>
          <w:tcPr>
            <w:tcW w:type="dxa" w:w="2448"/>
            <w:shd w:fill="FEF2F2" w:val="clear"/>
          </w:tcPr>
          <w:p>
            <w:r/>
            <w:r>
              <w:rPr>
                <w:rFonts w:ascii="Arial" w:hAnsi="Arial"/>
                <w:sz w:val="16"/>
              </w:rPr>
              <w:t>COMPLETED</w:t>
            </w:r>
          </w:p>
        </w:tc>
      </w:tr>
      <w:tr>
        <w:tc>
          <w:tcPr>
            <w:tcW w:type="dxa" w:w="2880"/>
          </w:tcPr>
          <w:p>
            <w:r/>
            <w:r>
              <w:rPr>
                <w:rFonts w:ascii="Arial" w:hAnsi="Arial"/>
                <w:sz w:val="16"/>
              </w:rPr>
              <w:t>Full aquatic toxicity suite</w:t>
            </w:r>
          </w:p>
        </w:tc>
        <w:tc>
          <w:tcPr>
            <w:tcW w:type="dxa" w:w="2160"/>
          </w:tcPr>
          <w:p>
            <w:r/>
            <w:r>
              <w:rPr>
                <w:rFonts w:ascii="Arial" w:hAnsi="Arial"/>
                <w:sz w:val="16"/>
              </w:rPr>
              <w:t>REQUIRED</w:t>
            </w:r>
          </w:p>
        </w:tc>
        <w:tc>
          <w:tcPr>
            <w:tcW w:type="dxa" w:w="2160"/>
          </w:tcPr>
          <w:p>
            <w:r/>
            <w:r>
              <w:rPr>
                <w:rFonts w:ascii="Arial" w:hAnsi="Arial"/>
                <w:sz w:val="16"/>
              </w:rPr>
              <w:t>NOT REQUIRED</w:t>
            </w:r>
          </w:p>
        </w:tc>
        <w:tc>
          <w:tcPr>
            <w:tcW w:type="dxa" w:w="2448"/>
          </w:tcPr>
          <w:p>
            <w:r/>
            <w:r>
              <w:rPr>
                <w:rFonts w:ascii="Arial" w:hAnsi="Arial"/>
                <w:sz w:val="16"/>
              </w:rPr>
              <w:t>COMPLETED</w:t>
            </w:r>
          </w:p>
        </w:tc>
      </w:tr>
      <w:tr>
        <w:tc>
          <w:tcPr>
            <w:tcW w:type="dxa" w:w="2880"/>
            <w:shd w:fill="FEF2F2" w:val="clear"/>
          </w:tcPr>
          <w:p>
            <w:r/>
            <w:r>
              <w:rPr>
                <w:rFonts w:ascii="Arial" w:hAnsi="Arial"/>
                <w:sz w:val="16"/>
              </w:rPr>
              <w:t>Terrestrial toxicity data</w:t>
            </w:r>
          </w:p>
        </w:tc>
        <w:tc>
          <w:tcPr>
            <w:tcW w:type="dxa" w:w="2160"/>
            <w:shd w:fill="FEF2F2" w:val="clear"/>
          </w:tcPr>
          <w:p>
            <w:r/>
            <w:r>
              <w:rPr>
                <w:rFonts w:ascii="Arial" w:hAnsi="Arial"/>
                <w:sz w:val="16"/>
              </w:rPr>
              <w:t>REQUIRED</w:t>
            </w:r>
          </w:p>
        </w:tc>
        <w:tc>
          <w:tcPr>
            <w:tcW w:type="dxa" w:w="2160"/>
            <w:shd w:fill="FEF2F2" w:val="clear"/>
          </w:tcPr>
          <w:p>
            <w:r/>
            <w:r>
              <w:rPr>
                <w:rFonts w:ascii="Arial" w:hAnsi="Arial"/>
                <w:sz w:val="16"/>
              </w:rPr>
              <w:t>NOT REQUIRED</w:t>
            </w:r>
          </w:p>
        </w:tc>
        <w:tc>
          <w:tcPr>
            <w:tcW w:type="dxa" w:w="2448"/>
            <w:shd w:fill="FEF2F2" w:val="clear"/>
          </w:tcPr>
          <w:p>
            <w:r/>
            <w:r>
              <w:rPr>
                <w:rFonts w:ascii="Arial" w:hAnsi="Arial"/>
                <w:sz w:val="16"/>
              </w:rPr>
              <w:t>COMPLETED</w:t>
            </w:r>
          </w:p>
        </w:tc>
      </w:tr>
      <w:tr>
        <w:tc>
          <w:tcPr>
            <w:tcW w:type="dxa" w:w="2880"/>
          </w:tcPr>
          <w:p>
            <w:r/>
            <w:r>
              <w:rPr>
                <w:rFonts w:ascii="Arial" w:hAnsi="Arial"/>
                <w:sz w:val="16"/>
              </w:rPr>
              <w:t>Full efficacy validation</w:t>
            </w:r>
          </w:p>
        </w:tc>
        <w:tc>
          <w:tcPr>
            <w:tcW w:type="dxa" w:w="2160"/>
          </w:tcPr>
          <w:p>
            <w:r/>
            <w:r>
              <w:rPr>
                <w:rFonts w:ascii="Arial" w:hAnsi="Arial"/>
                <w:sz w:val="16"/>
              </w:rPr>
              <w:t>REQUIRED</w:t>
            </w:r>
          </w:p>
        </w:tc>
        <w:tc>
          <w:tcPr>
            <w:tcW w:type="dxa" w:w="2160"/>
          </w:tcPr>
          <w:p>
            <w:r/>
            <w:r>
              <w:rPr>
                <w:rFonts w:ascii="Arial" w:hAnsi="Arial"/>
                <w:sz w:val="16"/>
              </w:rPr>
              <w:t>Limited</w:t>
            </w:r>
          </w:p>
        </w:tc>
        <w:tc>
          <w:tcPr>
            <w:tcW w:type="dxa" w:w="2448"/>
          </w:tcPr>
          <w:p>
            <w:r/>
            <w:r>
              <w:rPr>
                <w:rFonts w:ascii="Arial" w:hAnsi="Arial"/>
                <w:sz w:val="16"/>
              </w:rPr>
              <w:t>COMPLETED</w:t>
            </w:r>
          </w:p>
        </w:tc>
      </w:tr>
      <w:tr>
        <w:tc>
          <w:tcPr>
            <w:tcW w:type="dxa" w:w="2880"/>
            <w:shd w:fill="FEF2F2" w:val="clear"/>
          </w:tcPr>
          <w:p>
            <w:r/>
            <w:r>
              <w:rPr>
                <w:rFonts w:ascii="Arial" w:hAnsi="Arial"/>
                <w:sz w:val="16"/>
              </w:rPr>
              <w:t>Permanent application data</w:t>
            </w:r>
          </w:p>
        </w:tc>
        <w:tc>
          <w:tcPr>
            <w:tcW w:type="dxa" w:w="2160"/>
            <w:shd w:fill="FEF2F2" w:val="clear"/>
          </w:tcPr>
          <w:p>
            <w:r/>
            <w:r>
              <w:rPr>
                <w:rFonts w:ascii="Arial" w:hAnsi="Arial"/>
                <w:sz w:val="16"/>
              </w:rPr>
              <w:t>If claimed</w:t>
            </w:r>
          </w:p>
        </w:tc>
        <w:tc>
          <w:tcPr>
            <w:tcW w:type="dxa" w:w="2160"/>
            <w:shd w:fill="FEF2F2" w:val="clear"/>
          </w:tcPr>
          <w:p>
            <w:r/>
            <w:r>
              <w:rPr>
                <w:rFonts w:ascii="Arial" w:hAnsi="Arial"/>
                <w:sz w:val="16"/>
              </w:rPr>
              <w:t>NOT AVAILABLE</w:t>
            </w:r>
          </w:p>
        </w:tc>
        <w:tc>
          <w:tcPr>
            <w:tcW w:type="dxa" w:w="2448"/>
            <w:shd w:fill="FEF2F2" w:val="clear"/>
          </w:tcPr>
          <w:p>
            <w:r/>
            <w:r>
              <w:rPr>
                <w:rFonts w:ascii="Arial" w:hAnsi="Arial"/>
                <w:sz w:val="16"/>
              </w:rPr>
              <w:t>COMPLETED — PROVEN</w:t>
            </w:r>
          </w:p>
        </w:tc>
      </w:tr>
    </w:tbl>
    <w:p/>
    <w:p>
      <w:r>
        <w:t>Cost comparison: Full PRIA 6 independent testing requires $550,000-1,000,000+ in toxicology studies. A "me-too" registration using another company's old data requires only $25,000-75,000 in data compensation. Every competitor chose the cheap path. FUZE chose the right one.</w:t>
      </w:r>
    </w:p>
    <w:p>
      <w:r>
        <w:br w:type="page"/>
      </w:r>
    </w:p>
    <w:p>
      <w:pPr>
        <w:pStyle w:val="Heading1"/>
      </w:pPr>
      <w:r>
        <w:t>10. Regulatory Enforcement Timeline</w:t>
      </w:r>
    </w:p>
    <w:tbl>
      <w:tblPr>
        <w:tblStyle w:val="TableGrid"/>
        <w:tblW w:type="auto" w:w="0"/>
        <w:jc w:val="center"/>
        <w:tblLook w:firstColumn="1" w:firstRow="1" w:lastColumn="0" w:lastRow="0" w:noHBand="0" w:noVBand="1" w:val="04A0"/>
      </w:tblPr>
      <w:tblGrid>
        <w:gridCol w:w="3264"/>
        <w:gridCol w:w="3264"/>
        <w:gridCol w:w="3264"/>
      </w:tblGrid>
      <w:tr>
        <w:tc>
          <w:tcPr>
            <w:tcW w:type="dxa" w:w="720"/>
            <w:shd w:fill="7F1D1D" w:val="clear"/>
          </w:tcPr>
          <w:p>
            <w:r/>
            <w:r>
              <w:rPr>
                <w:rFonts w:ascii="Arial" w:hAnsi="Arial"/>
                <w:b/>
                <w:color w:val="FFFFFF"/>
                <w:sz w:val="16"/>
              </w:rPr>
              <w:t>Year</w:t>
            </w:r>
          </w:p>
        </w:tc>
        <w:tc>
          <w:tcPr>
            <w:tcW w:type="dxa" w:w="3600"/>
            <w:shd w:fill="7F1D1D" w:val="clear"/>
          </w:tcPr>
          <w:p>
            <w:r/>
            <w:r>
              <w:rPr>
                <w:rFonts w:ascii="Arial" w:hAnsi="Arial"/>
                <w:b/>
                <w:color w:val="FFFFFF"/>
                <w:sz w:val="16"/>
              </w:rPr>
              <w:t>Event</w:t>
            </w:r>
          </w:p>
        </w:tc>
        <w:tc>
          <w:tcPr>
            <w:tcW w:type="dxa" w:w="5328"/>
            <w:shd w:fill="7F1D1D" w:val="clear"/>
          </w:tcPr>
          <w:p>
            <w:r/>
            <w:r>
              <w:rPr>
                <w:rFonts w:ascii="Arial" w:hAnsi="Arial"/>
                <w:b/>
                <w:color w:val="FFFFFF"/>
                <w:sz w:val="16"/>
              </w:rPr>
              <w:t>Significance</w:t>
            </w:r>
          </w:p>
        </w:tc>
      </w:tr>
      <w:tr>
        <w:tc>
          <w:tcPr>
            <w:tcW w:type="dxa" w:w="720"/>
          </w:tcPr>
          <w:p>
            <w:r/>
            <w:r>
              <w:rPr>
                <w:rFonts w:ascii="Arial" w:hAnsi="Arial"/>
                <w:sz w:val="16"/>
              </w:rPr>
              <w:t>1983</w:t>
            </w:r>
          </w:p>
        </w:tc>
        <w:tc>
          <w:tcPr>
            <w:tcW w:type="dxa" w:w="3600"/>
          </w:tcPr>
          <w:p>
            <w:r/>
            <w:r>
              <w:rPr>
                <w:rFonts w:ascii="Arial" w:hAnsi="Arial"/>
                <w:sz w:val="16"/>
              </w:rPr>
              <w:t>Microban registers EPA 42182-1 for plastic additive</w:t>
            </w:r>
          </w:p>
        </w:tc>
        <w:tc>
          <w:tcPr>
            <w:tcW w:type="dxa" w:w="5328"/>
          </w:tcPr>
          <w:p>
            <w:r/>
            <w:r>
              <w:rPr>
                <w:rFonts w:ascii="Arial" w:hAnsi="Arial"/>
                <w:sz w:val="16"/>
              </w:rPr>
              <w:t>Original silver antimicrobial registration — basis for 40+ years of amendments</w:t>
            </w:r>
          </w:p>
        </w:tc>
      </w:tr>
      <w:tr>
        <w:tc>
          <w:tcPr>
            <w:tcW w:type="dxa" w:w="720"/>
            <w:shd w:fill="FEF2F2" w:val="clear"/>
          </w:tcPr>
          <w:p>
            <w:r/>
            <w:r>
              <w:rPr>
                <w:rFonts w:ascii="Arial" w:hAnsi="Arial"/>
                <w:sz w:val="16"/>
              </w:rPr>
              <w:t>1984</w:t>
            </w:r>
          </w:p>
        </w:tc>
        <w:tc>
          <w:tcPr>
            <w:tcW w:type="dxa" w:w="3600"/>
            <w:shd w:fill="FEF2F2" w:val="clear"/>
          </w:tcPr>
          <w:p>
            <w:r/>
            <w:r>
              <w:rPr>
                <w:rFonts w:ascii="Arial" w:hAnsi="Arial"/>
                <w:sz w:val="16"/>
              </w:rPr>
              <w:t>Sinanen commercializes Zeomic silver zeolite (Japan)</w:t>
            </w:r>
          </w:p>
        </w:tc>
        <w:tc>
          <w:tcPr>
            <w:tcW w:type="dxa" w:w="5328"/>
            <w:shd w:fill="FEF2F2" w:val="clear"/>
          </w:tcPr>
          <w:p>
            <w:r/>
            <w:r>
              <w:rPr>
                <w:rFonts w:ascii="Arial" w:hAnsi="Arial"/>
                <w:sz w:val="16"/>
              </w:rPr>
              <w:t>World's first silver-based inorganic antimicrobial</w:t>
            </w:r>
          </w:p>
        </w:tc>
      </w:tr>
      <w:tr>
        <w:tc>
          <w:tcPr>
            <w:tcW w:type="dxa" w:w="720"/>
          </w:tcPr>
          <w:p>
            <w:r/>
            <w:r>
              <w:rPr>
                <w:rFonts w:ascii="Arial" w:hAnsi="Arial"/>
                <w:sz w:val="16"/>
              </w:rPr>
              <w:t>1987</w:t>
            </w:r>
          </w:p>
        </w:tc>
        <w:tc>
          <w:tcPr>
            <w:tcW w:type="dxa" w:w="3600"/>
          </w:tcPr>
          <w:p>
            <w:r/>
            <w:r>
              <w:rPr>
                <w:rFonts w:ascii="Arial" w:hAnsi="Arial"/>
                <w:sz w:val="16"/>
              </w:rPr>
              <w:t>EPA tells Microban: data "do not support health-related efficacy claims"</w:t>
            </w:r>
          </w:p>
        </w:tc>
        <w:tc>
          <w:tcPr>
            <w:tcW w:type="dxa" w:w="5328"/>
          </w:tcPr>
          <w:p>
            <w:r/>
            <w:r>
              <w:rPr>
                <w:rFonts w:ascii="Arial" w:hAnsi="Arial"/>
                <w:sz w:val="16"/>
              </w:rPr>
              <w:t>Original 1983 plastic additive data insufficient for textile health claims</w:t>
            </w:r>
          </w:p>
        </w:tc>
      </w:tr>
      <w:tr>
        <w:tc>
          <w:tcPr>
            <w:tcW w:type="dxa" w:w="720"/>
            <w:shd w:fill="FEF2F2" w:val="clear"/>
          </w:tcPr>
          <w:p>
            <w:r/>
            <w:r>
              <w:rPr>
                <w:rFonts w:ascii="Arial" w:hAnsi="Arial"/>
                <w:sz w:val="16"/>
              </w:rPr>
              <w:t>2008</w:t>
            </w:r>
          </w:p>
        </w:tc>
        <w:tc>
          <w:tcPr>
            <w:tcW w:type="dxa" w:w="3600"/>
            <w:shd w:fill="FEF2F2" w:val="clear"/>
          </w:tcPr>
          <w:p>
            <w:r/>
            <w:r>
              <w:rPr>
                <w:rFonts w:ascii="Arial" w:hAnsi="Arial"/>
                <w:sz w:val="16"/>
              </w:rPr>
              <w:t>HeiQ submits "me-too" application for AGS-20</w:t>
            </w:r>
          </w:p>
        </w:tc>
        <w:tc>
          <w:tcPr>
            <w:tcW w:type="dxa" w:w="5328"/>
            <w:shd w:fill="FEF2F2" w:val="clear"/>
          </w:tcPr>
          <w:p>
            <w:r/>
            <w:r>
              <w:rPr>
                <w:rFonts w:ascii="Arial" w:hAnsi="Arial"/>
                <w:sz w:val="16"/>
              </w:rPr>
              <w:t>Used data compensation pathway — not independent testing</w:t>
            </w:r>
          </w:p>
        </w:tc>
      </w:tr>
      <w:tr>
        <w:tc>
          <w:tcPr>
            <w:tcW w:type="dxa" w:w="720"/>
          </w:tcPr>
          <w:p>
            <w:r/>
            <w:r>
              <w:rPr>
                <w:rFonts w:ascii="Arial" w:hAnsi="Arial"/>
                <w:sz w:val="16"/>
              </w:rPr>
              <w:t>2009</w:t>
            </w:r>
          </w:p>
        </w:tc>
        <w:tc>
          <w:tcPr>
            <w:tcW w:type="dxa" w:w="3600"/>
          </w:tcPr>
          <w:p>
            <w:r/>
            <w:r>
              <w:rPr>
                <w:rFonts w:ascii="Arial" w:hAnsi="Arial"/>
                <w:sz w:val="16"/>
              </w:rPr>
              <w:t>EPA Data Call-In for consolidated silver review</w:t>
            </w:r>
          </w:p>
        </w:tc>
        <w:tc>
          <w:tcPr>
            <w:tcW w:type="dxa" w:w="5328"/>
          </w:tcPr>
          <w:p>
            <w:r/>
            <w:r>
              <w:rPr>
                <w:rFonts w:ascii="Arial" w:hAnsi="Arial"/>
                <w:sz w:val="16"/>
              </w:rPr>
              <w:t>Attempt at comprehensive modern review — narrowed and stalled</w:t>
            </w:r>
          </w:p>
        </w:tc>
      </w:tr>
      <w:tr>
        <w:tc>
          <w:tcPr>
            <w:tcW w:type="dxa" w:w="720"/>
            <w:shd w:fill="FEF2F2" w:val="clear"/>
          </w:tcPr>
          <w:p>
            <w:r/>
            <w:r>
              <w:rPr>
                <w:rFonts w:ascii="Arial" w:hAnsi="Arial"/>
                <w:sz w:val="16"/>
              </w:rPr>
              <w:t>2011</w:t>
            </w:r>
          </w:p>
        </w:tc>
        <w:tc>
          <w:tcPr>
            <w:tcW w:type="dxa" w:w="3600"/>
            <w:shd w:fill="FEF2F2" w:val="clear"/>
          </w:tcPr>
          <w:p>
            <w:r/>
            <w:r>
              <w:rPr>
                <w:rFonts w:ascii="Arial" w:hAnsi="Arial"/>
                <w:sz w:val="16"/>
              </w:rPr>
              <w:t>HeiQ AGS-20 conditional registration (EPA 85249)</w:t>
            </w:r>
          </w:p>
        </w:tc>
        <w:tc>
          <w:tcPr>
            <w:tcW w:type="dxa" w:w="5328"/>
            <w:shd w:fill="FEF2F2" w:val="clear"/>
          </w:tcPr>
          <w:p>
            <w:r/>
            <w:r>
              <w:rPr>
                <w:rFonts w:ascii="Arial" w:hAnsi="Arial"/>
                <w:sz w:val="16"/>
              </w:rPr>
              <w:t>First nanosilver product registered — with deferred safety data</w:t>
            </w:r>
          </w:p>
        </w:tc>
      </w:tr>
      <w:tr>
        <w:tc>
          <w:tcPr>
            <w:tcW w:type="dxa" w:w="720"/>
          </w:tcPr>
          <w:p>
            <w:r/>
            <w:r>
              <w:rPr>
                <w:rFonts w:ascii="Arial" w:hAnsi="Arial"/>
                <w:sz w:val="16"/>
              </w:rPr>
              <w:t>2011</w:t>
            </w:r>
          </w:p>
        </w:tc>
        <w:tc>
          <w:tcPr>
            <w:tcW w:type="dxa" w:w="3600"/>
          </w:tcPr>
          <w:p>
            <w:r/>
            <w:r>
              <w:rPr>
                <w:rFonts w:ascii="Arial" w:hAnsi="Arial"/>
                <w:sz w:val="16"/>
              </w:rPr>
              <w:t>Sciessent/Agion fined $220,000 for FIFRA violations</w:t>
            </w:r>
          </w:p>
        </w:tc>
        <w:tc>
          <w:tcPr>
            <w:tcW w:type="dxa" w:w="5328"/>
          </w:tcPr>
          <w:p>
            <w:r/>
            <w:r>
              <w:rPr>
                <w:rFonts w:ascii="Arial" w:hAnsi="Arial"/>
                <w:sz w:val="16"/>
              </w:rPr>
              <w:t>Illegal efficacy claims, unreported imports</w:t>
            </w:r>
          </w:p>
        </w:tc>
      </w:tr>
      <w:tr>
        <w:tc>
          <w:tcPr>
            <w:tcW w:type="dxa" w:w="720"/>
            <w:shd w:fill="FEF2F2" w:val="clear"/>
          </w:tcPr>
          <w:p>
            <w:r/>
            <w:r>
              <w:rPr>
                <w:rFonts w:ascii="Arial" w:hAnsi="Arial"/>
                <w:sz w:val="16"/>
              </w:rPr>
              <w:t>2013</w:t>
            </w:r>
          </w:p>
        </w:tc>
        <w:tc>
          <w:tcPr>
            <w:tcW w:type="dxa" w:w="3600"/>
            <w:shd w:fill="FEF2F2" w:val="clear"/>
          </w:tcPr>
          <w:p>
            <w:r/>
            <w:r>
              <w:rPr>
                <w:rFonts w:ascii="Arial" w:hAnsi="Arial"/>
                <w:sz w:val="16"/>
              </w:rPr>
              <w:t>NRDC v. EPA: Ninth Circuit vacates AGS-20 risk assessment</w:t>
            </w:r>
          </w:p>
        </w:tc>
        <w:tc>
          <w:tcPr>
            <w:tcW w:type="dxa" w:w="5328"/>
            <w:shd w:fill="FEF2F2" w:val="clear"/>
          </w:tcPr>
          <w:p>
            <w:r/>
            <w:r>
              <w:rPr>
                <w:rFonts w:ascii="Arial" w:hAnsi="Arial"/>
                <w:sz w:val="16"/>
              </w:rPr>
              <w:t>Court finds EPA exposure assumptions lack substantial evidence</w:t>
            </w:r>
          </w:p>
        </w:tc>
      </w:tr>
      <w:tr>
        <w:tc>
          <w:tcPr>
            <w:tcW w:type="dxa" w:w="720"/>
          </w:tcPr>
          <w:p>
            <w:r/>
            <w:r>
              <w:rPr>
                <w:rFonts w:ascii="Arial" w:hAnsi="Arial"/>
                <w:sz w:val="16"/>
              </w:rPr>
              <w:t>2013</w:t>
            </w:r>
          </w:p>
        </w:tc>
        <w:tc>
          <w:tcPr>
            <w:tcW w:type="dxa" w:w="3600"/>
          </w:tcPr>
          <w:p>
            <w:r/>
            <w:r>
              <w:rPr>
                <w:rFonts w:ascii="Arial" w:hAnsi="Arial"/>
                <w:sz w:val="16"/>
              </w:rPr>
              <w:t>Silvadur 930 registered (EPA 464-785)</w:t>
            </w:r>
          </w:p>
        </w:tc>
        <w:tc>
          <w:tcPr>
            <w:tcW w:type="dxa" w:w="5328"/>
          </w:tcPr>
          <w:p>
            <w:r/>
            <w:r>
              <w:rPr>
                <w:rFonts w:ascii="Arial" w:hAnsi="Arial"/>
                <w:sz w:val="16"/>
              </w:rPr>
              <w:t>DuPont likely used data compensation from pre-1996 registrants</w:t>
            </w:r>
          </w:p>
        </w:tc>
      </w:tr>
      <w:tr>
        <w:tc>
          <w:tcPr>
            <w:tcW w:type="dxa" w:w="720"/>
            <w:shd w:fill="FEF2F2" w:val="clear"/>
          </w:tcPr>
          <w:p>
            <w:r/>
            <w:r>
              <w:rPr>
                <w:rFonts w:ascii="Arial" w:hAnsi="Arial"/>
                <w:sz w:val="16"/>
              </w:rPr>
              <w:t>2015</w:t>
            </w:r>
          </w:p>
        </w:tc>
        <w:tc>
          <w:tcPr>
            <w:tcW w:type="dxa" w:w="3600"/>
            <w:shd w:fill="FEF2F2" w:val="clear"/>
          </w:tcPr>
          <w:p>
            <w:r/>
            <w:r>
              <w:rPr>
                <w:rFonts w:ascii="Arial" w:hAnsi="Arial"/>
                <w:sz w:val="16"/>
              </w:rPr>
              <w:t>NSPW liquid nanosilver conditionally registered</w:t>
            </w:r>
          </w:p>
        </w:tc>
        <w:tc>
          <w:tcPr>
            <w:tcW w:type="dxa" w:w="5328"/>
            <w:shd w:fill="FEF2F2" w:val="clear"/>
          </w:tcPr>
          <w:p>
            <w:r/>
            <w:r>
              <w:rPr>
                <w:rFonts w:ascii="Arial" w:hAnsi="Arial"/>
                <w:sz w:val="16"/>
              </w:rPr>
              <w:t>EPA approves another nanosilver despite growing concerns</w:t>
            </w:r>
          </w:p>
        </w:tc>
      </w:tr>
      <w:tr>
        <w:tc>
          <w:tcPr>
            <w:tcW w:type="dxa" w:w="720"/>
          </w:tcPr>
          <w:p>
            <w:r/>
            <w:r>
              <w:rPr>
                <w:rFonts w:ascii="Arial" w:hAnsi="Arial"/>
                <w:sz w:val="16"/>
              </w:rPr>
              <w:t>2017</w:t>
            </w:r>
          </w:p>
        </w:tc>
        <w:tc>
          <w:tcPr>
            <w:tcW w:type="dxa" w:w="3600"/>
          </w:tcPr>
          <w:p>
            <w:r/>
            <w:r>
              <w:rPr>
                <w:rFonts w:ascii="Arial" w:hAnsi="Arial"/>
                <w:sz w:val="16"/>
              </w:rPr>
              <w:t>Ninth Circuit VACATES NSPW registration in whole</w:t>
            </w:r>
          </w:p>
        </w:tc>
        <w:tc>
          <w:tcPr>
            <w:tcW w:type="dxa" w:w="5328"/>
          </w:tcPr>
          <w:p>
            <w:r/>
            <w:r>
              <w:rPr>
                <w:rFonts w:ascii="Arial" w:hAnsi="Arial"/>
                <w:sz w:val="16"/>
              </w:rPr>
              <w:t>Binding precedent: conditional nanosilver registrations can be revoked</w:t>
            </w:r>
          </w:p>
        </w:tc>
      </w:tr>
      <w:tr>
        <w:tc>
          <w:tcPr>
            <w:tcW w:type="dxa" w:w="720"/>
            <w:shd w:fill="FEF2F2" w:val="clear"/>
          </w:tcPr>
          <w:p>
            <w:r/>
            <w:r>
              <w:rPr>
                <w:rFonts w:ascii="Arial" w:hAnsi="Arial"/>
                <w:sz w:val="16"/>
              </w:rPr>
              <w:t>2022</w:t>
            </w:r>
          </w:p>
        </w:tc>
        <w:tc>
          <w:tcPr>
            <w:tcW w:type="dxa" w:w="3600"/>
            <w:shd w:fill="FEF2F2" w:val="clear"/>
          </w:tcPr>
          <w:p>
            <w:r/>
            <w:r>
              <w:rPr>
                <w:rFonts w:ascii="Arial" w:hAnsi="Arial"/>
                <w:sz w:val="16"/>
              </w:rPr>
              <w:t>HeiQ v. ICP Industrial — $100M+ lawsuit filed</w:t>
            </w:r>
          </w:p>
        </w:tc>
        <w:tc>
          <w:tcPr>
            <w:tcW w:type="dxa" w:w="5328"/>
            <w:shd w:fill="FEF2F2" w:val="clear"/>
          </w:tcPr>
          <w:p>
            <w:r/>
            <w:r>
              <w:rPr>
                <w:rFonts w:ascii="Arial" w:hAnsi="Arial"/>
                <w:sz w:val="16"/>
              </w:rPr>
              <w:t>Partnership failure, revenue conversion problems</w:t>
            </w:r>
          </w:p>
        </w:tc>
      </w:tr>
      <w:tr>
        <w:tc>
          <w:tcPr>
            <w:tcW w:type="dxa" w:w="720"/>
          </w:tcPr>
          <w:p>
            <w:r/>
            <w:r>
              <w:rPr>
                <w:rFonts w:ascii="Arial" w:hAnsi="Arial"/>
                <w:sz w:val="16"/>
              </w:rPr>
              <w:t>2024</w:t>
            </w:r>
          </w:p>
        </w:tc>
        <w:tc>
          <w:tcPr>
            <w:tcW w:type="dxa" w:w="3600"/>
          </w:tcPr>
          <w:p>
            <w:r/>
            <w:r>
              <w:rPr>
                <w:rFonts w:ascii="Arial" w:hAnsi="Arial"/>
                <w:sz w:val="16"/>
              </w:rPr>
              <w:t>HeiQ delisted from London Stock Exchange</w:t>
            </w:r>
          </w:p>
        </w:tc>
        <w:tc>
          <w:tcPr>
            <w:tcW w:type="dxa" w:w="5328"/>
          </w:tcPr>
          <w:p>
            <w:r/>
            <w:r>
              <w:rPr>
                <w:rFonts w:ascii="Arial" w:hAnsi="Arial"/>
                <w:sz w:val="16"/>
              </w:rPr>
              <w:t>Stock down 69%, $13.89M net loss, forced return to private ownership</w:t>
            </w:r>
          </w:p>
        </w:tc>
      </w:tr>
      <w:tr>
        <w:tc>
          <w:tcPr>
            <w:tcW w:type="dxa" w:w="720"/>
            <w:shd w:fill="FEF2F2" w:val="clear"/>
          </w:tcPr>
          <w:p>
            <w:r/>
            <w:r>
              <w:rPr>
                <w:rFonts w:ascii="Arial" w:hAnsi="Arial"/>
                <w:sz w:val="16"/>
              </w:rPr>
              <w:t>2026</w:t>
            </w:r>
          </w:p>
        </w:tc>
        <w:tc>
          <w:tcPr>
            <w:tcW w:type="dxa" w:w="3600"/>
            <w:shd w:fill="FEF2F2" w:val="clear"/>
          </w:tcPr>
          <w:p>
            <w:r/>
            <w:r>
              <w:rPr>
                <w:rFonts w:ascii="Arial" w:hAnsi="Arial"/>
                <w:sz w:val="16"/>
              </w:rPr>
              <w:t>FUZE completes full PRIA 6 modern safety evaluation</w:t>
            </w:r>
          </w:p>
        </w:tc>
        <w:tc>
          <w:tcPr>
            <w:tcW w:type="dxa" w:w="5328"/>
            <w:shd w:fill="FEF2F2" w:val="clear"/>
          </w:tcPr>
          <w:p>
            <w:r/>
            <w:r>
              <w:rPr>
                <w:rFonts w:ascii="Arial" w:hAnsi="Arial"/>
                <w:sz w:val="16"/>
              </w:rPr>
              <w:t>Only antimicrobial textile treatment with complete modern testing</w:t>
            </w:r>
          </w:p>
        </w:tc>
      </w:tr>
    </w:tbl>
    <w:p/>
    <w:p>
      <w:r>
        <w:br w:type="page"/>
      </w:r>
    </w:p>
    <w:p>
      <w:pPr>
        <w:pStyle w:val="Heading1"/>
      </w:pPr>
      <w:r>
        <w:t>11. Factory Wastewater Remediation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440"/>
            <w:shd w:fill="0D473B" w:val="clear"/>
          </w:tcPr>
          <w:p>
            <w:r/>
            <w:r>
              <w:rPr>
                <w:rFonts w:ascii="Arial" w:hAnsi="Arial"/>
                <w:b/>
                <w:color w:val="FFFFFF"/>
                <w:sz w:val="16"/>
              </w:rPr>
              <w:t>Chemistry</w:t>
            </w:r>
          </w:p>
        </w:tc>
        <w:tc>
          <w:tcPr>
            <w:tcW w:type="dxa" w:w="1440"/>
            <w:shd w:fill="0D473B" w:val="clear"/>
          </w:tcPr>
          <w:p>
            <w:r/>
            <w:r>
              <w:rPr>
                <w:rFonts w:ascii="Arial" w:hAnsi="Arial"/>
                <w:b/>
                <w:color w:val="FFFFFF"/>
                <w:sz w:val="16"/>
              </w:rPr>
              <w:t>Caustic Soda</w:t>
            </w:r>
          </w:p>
        </w:tc>
        <w:tc>
          <w:tcPr>
            <w:tcW w:type="dxa" w:w="1728"/>
            <w:shd w:fill="0D473B" w:val="clear"/>
          </w:tcPr>
          <w:p>
            <w:r/>
            <w:r>
              <w:rPr>
                <w:rFonts w:ascii="Arial" w:hAnsi="Arial"/>
                <w:b/>
                <w:color w:val="FFFFFF"/>
                <w:sz w:val="16"/>
              </w:rPr>
              <w:t>Flocculants</w:t>
            </w:r>
          </w:p>
        </w:tc>
        <w:tc>
          <w:tcPr>
            <w:tcW w:type="dxa" w:w="1872"/>
            <w:shd w:fill="0D473B" w:val="clear"/>
          </w:tcPr>
          <w:p>
            <w:r/>
            <w:r>
              <w:rPr>
                <w:rFonts w:ascii="Arial" w:hAnsi="Arial"/>
                <w:b/>
                <w:color w:val="FFFFFF"/>
                <w:sz w:val="16"/>
              </w:rPr>
              <w:t>Other Chemicals</w:t>
            </w:r>
          </w:p>
        </w:tc>
        <w:tc>
          <w:tcPr>
            <w:tcW w:type="dxa" w:w="3168"/>
            <w:shd w:fill="0D473B" w:val="clear"/>
          </w:tcPr>
          <w:p>
            <w:r/>
            <w:r>
              <w:rPr>
                <w:rFonts w:ascii="Arial" w:hAnsi="Arial"/>
                <w:b/>
                <w:color w:val="FFFFFF"/>
                <w:sz w:val="16"/>
              </w:rPr>
              <w:t>Method</w:t>
            </w:r>
          </w:p>
        </w:tc>
      </w:tr>
      <w:tr>
        <w:tc>
          <w:tcPr>
            <w:tcW w:type="dxa" w:w="1440"/>
          </w:tcPr>
          <w:p>
            <w:r/>
            <w:r>
              <w:rPr>
                <w:rFonts w:ascii="Arial" w:hAnsi="Arial"/>
                <w:sz w:val="16"/>
              </w:rPr>
              <w:t>Silver Cl/Zeolite</w:t>
            </w:r>
          </w:p>
        </w:tc>
        <w:tc>
          <w:tcPr>
            <w:tcW w:type="dxa" w:w="1440"/>
          </w:tcPr>
          <w:p>
            <w:r/>
            <w:r>
              <w:rPr>
                <w:rFonts w:ascii="Arial" w:hAnsi="Arial"/>
                <w:sz w:val="16"/>
              </w:rPr>
              <w:t>Yes — pH adjust</w:t>
            </w:r>
          </w:p>
        </w:tc>
        <w:tc>
          <w:tcPr>
            <w:tcW w:type="dxa" w:w="1728"/>
          </w:tcPr>
          <w:p>
            <w:r/>
            <w:r>
              <w:rPr>
                <w:rFonts w:ascii="Arial" w:hAnsi="Arial"/>
                <w:sz w:val="16"/>
              </w:rPr>
              <w:t>Al polychloride, FeCl3</w:t>
            </w:r>
          </w:p>
        </w:tc>
        <w:tc>
          <w:tcPr>
            <w:tcW w:type="dxa" w:w="1872"/>
          </w:tcPr>
          <w:p>
            <w:r/>
            <w:r>
              <w:rPr>
                <w:rFonts w:ascii="Arial" w:hAnsi="Arial"/>
                <w:sz w:val="16"/>
              </w:rPr>
              <w:t>Lime, HCl</w:t>
            </w:r>
          </w:p>
        </w:tc>
        <w:tc>
          <w:tcPr>
            <w:tcW w:type="dxa" w:w="3168"/>
          </w:tcPr>
          <w:p>
            <w:r/>
            <w:r>
              <w:rPr>
                <w:rFonts w:ascii="Arial" w:hAnsi="Arial"/>
                <w:sz w:val="16"/>
              </w:rPr>
              <w:t>Precipitation + coagulation + microfiltration</w:t>
            </w:r>
          </w:p>
        </w:tc>
      </w:tr>
      <w:tr>
        <w:tc>
          <w:tcPr>
            <w:tcW w:type="dxa" w:w="1440"/>
            <w:shd w:fill="FEF2F2" w:val="clear"/>
          </w:tcPr>
          <w:p>
            <w:r/>
            <w:r>
              <w:rPr>
                <w:rFonts w:ascii="Arial" w:hAnsi="Arial"/>
                <w:sz w:val="16"/>
              </w:rPr>
              <w:t>Quats</w:t>
            </w:r>
          </w:p>
        </w:tc>
        <w:tc>
          <w:tcPr>
            <w:tcW w:type="dxa" w:w="1440"/>
            <w:shd w:fill="FEF2F2" w:val="clear"/>
          </w:tcPr>
          <w:p>
            <w:r/>
            <w:r>
              <w:rPr>
                <w:rFonts w:ascii="Arial" w:hAnsi="Arial"/>
                <w:sz w:val="16"/>
              </w:rPr>
              <w:t>Yes — pH control</w:t>
            </w:r>
          </w:p>
        </w:tc>
        <w:tc>
          <w:tcPr>
            <w:tcW w:type="dxa" w:w="1728"/>
            <w:shd w:fill="FEF2F2" w:val="clear"/>
          </w:tcPr>
          <w:p>
            <w:r/>
            <w:r>
              <w:rPr>
                <w:rFonts w:ascii="Arial" w:hAnsi="Arial"/>
                <w:sz w:val="16"/>
              </w:rPr>
              <w:t>Polymer flocculants</w:t>
            </w:r>
          </w:p>
        </w:tc>
        <w:tc>
          <w:tcPr>
            <w:tcW w:type="dxa" w:w="1872"/>
            <w:shd w:fill="FEF2F2" w:val="clear"/>
          </w:tcPr>
          <w:p>
            <w:r/>
            <w:r>
              <w:rPr>
                <w:rFonts w:ascii="Arial" w:hAnsi="Arial"/>
                <w:sz w:val="16"/>
              </w:rPr>
              <w:t>Activated carbon</w:t>
            </w:r>
          </w:p>
        </w:tc>
        <w:tc>
          <w:tcPr>
            <w:tcW w:type="dxa" w:w="3168"/>
            <w:shd w:fill="FEF2F2" w:val="clear"/>
          </w:tcPr>
          <w:p>
            <w:r/>
            <w:r>
              <w:rPr>
                <w:rFonts w:ascii="Arial" w:hAnsi="Arial"/>
                <w:sz w:val="16"/>
              </w:rPr>
              <w:t>MBBR biofilm + sorption + degradation</w:t>
            </w:r>
          </w:p>
        </w:tc>
      </w:tr>
      <w:tr>
        <w:tc>
          <w:tcPr>
            <w:tcW w:type="dxa" w:w="1440"/>
          </w:tcPr>
          <w:p>
            <w:r/>
            <w:r>
              <w:rPr>
                <w:rFonts w:ascii="Arial" w:hAnsi="Arial"/>
                <w:sz w:val="16"/>
              </w:rPr>
              <w:t>Copper Oxide</w:t>
            </w:r>
          </w:p>
        </w:tc>
        <w:tc>
          <w:tcPr>
            <w:tcW w:type="dxa" w:w="1440"/>
          </w:tcPr>
          <w:p>
            <w:r/>
            <w:r>
              <w:rPr>
                <w:rFonts w:ascii="Arial" w:hAnsi="Arial"/>
                <w:sz w:val="16"/>
              </w:rPr>
              <w:t>Yes — hydroxide precip</w:t>
            </w:r>
          </w:p>
        </w:tc>
        <w:tc>
          <w:tcPr>
            <w:tcW w:type="dxa" w:w="1728"/>
          </w:tcPr>
          <w:p>
            <w:r/>
            <w:r>
              <w:rPr>
                <w:rFonts w:ascii="Arial" w:hAnsi="Arial"/>
                <w:sz w:val="16"/>
              </w:rPr>
              <w:t>Ferric sulfate</w:t>
            </w:r>
          </w:p>
        </w:tc>
        <w:tc>
          <w:tcPr>
            <w:tcW w:type="dxa" w:w="1872"/>
          </w:tcPr>
          <w:p>
            <w:r/>
            <w:r>
              <w:rPr>
                <w:rFonts w:ascii="Arial" w:hAnsi="Arial"/>
                <w:sz w:val="16"/>
              </w:rPr>
              <w:t>Na2S, chelating agents</w:t>
            </w:r>
          </w:p>
        </w:tc>
        <w:tc>
          <w:tcPr>
            <w:tcW w:type="dxa" w:w="3168"/>
          </w:tcPr>
          <w:p>
            <w:r/>
            <w:r>
              <w:rPr>
                <w:rFonts w:ascii="Arial" w:hAnsi="Arial"/>
                <w:sz w:val="16"/>
              </w:rPr>
              <w:t>Precip + adsorption + electrochemical + membrane</w:t>
            </w:r>
          </w:p>
        </w:tc>
      </w:tr>
      <w:tr>
        <w:tc>
          <w:tcPr>
            <w:tcW w:type="dxa" w:w="1440"/>
            <w:shd w:fill="FEF2F2" w:val="clear"/>
          </w:tcPr>
          <w:p>
            <w:r/>
            <w:r>
              <w:rPr>
                <w:rFonts w:ascii="Arial" w:hAnsi="Arial"/>
                <w:sz w:val="16"/>
              </w:rPr>
              <w:t>Zinc Pyrithione</w:t>
            </w:r>
          </w:p>
        </w:tc>
        <w:tc>
          <w:tcPr>
            <w:tcW w:type="dxa" w:w="1440"/>
            <w:shd w:fill="FEF2F2" w:val="clear"/>
          </w:tcPr>
          <w:p>
            <w:r/>
            <w:r>
              <w:rPr>
                <w:rFonts w:ascii="Arial" w:hAnsi="Arial"/>
                <w:sz w:val="16"/>
              </w:rPr>
              <w:t>Yes — pH 8-9.5</w:t>
            </w:r>
          </w:p>
        </w:tc>
        <w:tc>
          <w:tcPr>
            <w:tcW w:type="dxa" w:w="1728"/>
            <w:shd w:fill="FEF2F2" w:val="clear"/>
          </w:tcPr>
          <w:p>
            <w:r/>
            <w:r>
              <w:rPr>
                <w:rFonts w:ascii="Arial" w:hAnsi="Arial"/>
                <w:sz w:val="16"/>
              </w:rPr>
              <w:t>Na trithiocarbonate</w:t>
            </w:r>
          </w:p>
        </w:tc>
        <w:tc>
          <w:tcPr>
            <w:tcW w:type="dxa" w:w="1872"/>
            <w:shd w:fill="FEF2F2" w:val="clear"/>
          </w:tcPr>
          <w:p>
            <w:r/>
            <w:r>
              <w:rPr>
                <w:rFonts w:ascii="Arial" w:hAnsi="Arial"/>
                <w:sz w:val="16"/>
              </w:rPr>
              <w:t>Na2S (93.75% removal)</w:t>
            </w:r>
          </w:p>
        </w:tc>
        <w:tc>
          <w:tcPr>
            <w:tcW w:type="dxa" w:w="3168"/>
            <w:shd w:fill="FEF2F2" w:val="clear"/>
          </w:tcPr>
          <w:p>
            <w:r/>
            <w:r>
              <w:rPr>
                <w:rFonts w:ascii="Arial" w:hAnsi="Arial"/>
                <w:sz w:val="16"/>
              </w:rPr>
              <w:t>SRB bioreactor + sulphide precip + electrocoag</w:t>
            </w:r>
          </w:p>
        </w:tc>
      </w:tr>
      <w:tr>
        <w:tc>
          <w:tcPr>
            <w:tcW w:type="dxa" w:w="1440"/>
          </w:tcPr>
          <w:p>
            <w:r/>
            <w:r>
              <w:rPr>
                <w:rFonts w:ascii="Arial" w:hAnsi="Arial"/>
                <w:sz w:val="16"/>
              </w:rPr>
              <w:t>HeiQ/Noble</w:t>
            </w:r>
          </w:p>
        </w:tc>
        <w:tc>
          <w:tcPr>
            <w:tcW w:type="dxa" w:w="1440"/>
          </w:tcPr>
          <w:p>
            <w:r/>
            <w:r>
              <w:rPr>
                <w:rFonts w:ascii="Arial" w:hAnsi="Arial"/>
                <w:sz w:val="16"/>
              </w:rPr>
              <w:t>Yes</w:t>
            </w:r>
          </w:p>
        </w:tc>
        <w:tc>
          <w:tcPr>
            <w:tcW w:type="dxa" w:w="1728"/>
          </w:tcPr>
          <w:p>
            <w:r/>
            <w:r>
              <w:rPr>
                <w:rFonts w:ascii="Arial" w:hAnsi="Arial"/>
                <w:sz w:val="16"/>
              </w:rPr>
              <w:t>Same as silver</w:t>
            </w:r>
          </w:p>
        </w:tc>
        <w:tc>
          <w:tcPr>
            <w:tcW w:type="dxa" w:w="1872"/>
          </w:tcPr>
          <w:p>
            <w:r/>
            <w:r>
              <w:rPr>
                <w:rFonts w:ascii="Arial" w:hAnsi="Arial"/>
                <w:sz w:val="16"/>
              </w:rPr>
              <w:t>Same as silver</w:t>
            </w:r>
          </w:p>
        </w:tc>
        <w:tc>
          <w:tcPr>
            <w:tcW w:type="dxa" w:w="3168"/>
          </w:tcPr>
          <w:p>
            <w:r/>
            <w:r>
              <w:rPr>
                <w:rFonts w:ascii="Arial" w:hAnsi="Arial"/>
                <w:sz w:val="16"/>
              </w:rPr>
              <w:t>Silver-specific precipitation</w:t>
            </w:r>
          </w:p>
        </w:tc>
      </w:tr>
      <w:tr>
        <w:tc>
          <w:tcPr>
            <w:tcW w:type="dxa" w:w="1440"/>
            <w:shd w:fill="FEF2F2" w:val="clear"/>
          </w:tcPr>
          <w:p>
            <w:r/>
            <w:r>
              <w:rPr>
                <w:rFonts w:ascii="Arial" w:hAnsi="Arial"/>
                <w:sz w:val="16"/>
              </w:rPr>
              <w:t>FUZE</w:t>
            </w:r>
          </w:p>
        </w:tc>
        <w:tc>
          <w:tcPr>
            <w:tcW w:type="dxa" w:w="1440"/>
            <w:shd w:fill="FEF2F2" w:val="clear"/>
          </w:tcPr>
          <w:p>
            <w:r/>
            <w:r>
              <w:rPr>
                <w:rFonts w:ascii="Arial" w:hAnsi="Arial"/>
                <w:sz w:val="16"/>
              </w:rPr>
              <w:t>NONE</w:t>
            </w:r>
          </w:p>
        </w:tc>
        <w:tc>
          <w:tcPr>
            <w:tcW w:type="dxa" w:w="1728"/>
            <w:shd w:fill="FEF2F2" w:val="clear"/>
          </w:tcPr>
          <w:p>
            <w:r/>
            <w:r>
              <w:rPr>
                <w:rFonts w:ascii="Arial" w:hAnsi="Arial"/>
                <w:sz w:val="16"/>
              </w:rPr>
              <w:t>NONE</w:t>
            </w:r>
          </w:p>
        </w:tc>
        <w:tc>
          <w:tcPr>
            <w:tcW w:type="dxa" w:w="1872"/>
            <w:shd w:fill="FEF2F2" w:val="clear"/>
          </w:tcPr>
          <w:p>
            <w:r/>
            <w:r>
              <w:rPr>
                <w:rFonts w:ascii="Arial" w:hAnsi="Arial"/>
                <w:sz w:val="16"/>
              </w:rPr>
              <w:t>NONE</w:t>
            </w:r>
          </w:p>
        </w:tc>
        <w:tc>
          <w:tcPr>
            <w:tcW w:type="dxa" w:w="3168"/>
            <w:shd w:fill="FEF2F2" w:val="clear"/>
          </w:tcPr>
          <w:p>
            <w:r/>
            <w:r>
              <w:rPr>
                <w:rFonts w:ascii="Arial" w:hAnsi="Arial"/>
                <w:sz w:val="16"/>
              </w:rPr>
              <w:t>No treatment — carrier is 18 MΩ ultrapure water</w:t>
            </w:r>
          </w:p>
        </w:tc>
      </w:tr>
    </w:tbl>
    <w:p/>
    <w:p>
      <w:r>
        <w:t>FUZE is the only antimicrobial treatment where factory wastewater remediation cost is zero.</w:t>
      </w:r>
    </w:p>
    <w:p>
      <w:r>
        <w:br w:type="page"/>
      </w:r>
    </w:p>
    <w:p>
      <w:pPr>
        <w:pStyle w:val="Heading1"/>
      </w:pPr>
      <w:r>
        <w:t>12. Conclusion</w:t>
      </w:r>
    </w:p>
    <w:p>
      <w:r>
        <w:t>The antimicrobial textile industry is built on a foundation of 40-year-old safety data, amended registrations, and regulatory loopholes. Every competitor either rides a grandfathered 1970s-80s registration, uses "me-too" data compensation from someone else's old studies, or holds a conditional approval where the product was sold for years before safety testing was completed.</w:t>
      </w:r>
    </w:p>
    <w:p>
      <w:r>
        <w:t>HeiQ is collapsing financially, court-challenged on its registration, banned from antiviral claims in the USA, and losing licensing partnerships. Noble inflates its licensee count, refuses to publish EPA registration numbers, and independent testing contradicts its "permanent" durability claims. Microban's 1983 plastic additive data cannot legally support textile health claims. Sciessent was fined $220,000 for FIFRA violations. The only nanosilver product that went to full court review was vacated and revoked.</w:t>
      </w:r>
    </w:p>
    <w:p>
      <w:r>
        <w:t>FUZE metamaterial technology is fundamentally different. No binders. No curing. No VOCs. No leaching. No wastewater treatment. No grandfathered data. Full PRIA 6 modern safety evaluation proving no toxicity and permanent application. Produced by 30-amp liquid laser ablation on a 1m² table from recycled electronics, powered by solar. This is not an incremental improvement — it is the only clean-slate antimicrobial in the industry.</w:t>
      </w:r>
    </w:p>
    <w:p>
      <w:pPr>
        <w:jc w:val="center"/>
      </w:pPr>
      <w:r>
        <w:rPr>
          <w:rFonts w:ascii="Arial" w:hAnsi="Arial"/>
          <w:color w:val="94A3B8"/>
          <w:sz w:val="18"/>
        </w:rPr>
        <w:br/>
        <w:t>FUZE Biotech  |  fuzeatlas.com  |  Stage 2: Bio-Based Analysis Coming Soon</w:t>
      </w:r>
    </w:p>
    <w:sectPr w:rsidR="00FC693F" w:rsidRPr="0006063C" w:rsidSect="00034616">
      <w:pgSz w:w="12240" w:h="15840"/>
      <w:pgMar w:top="1080"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rial" w:hAnsi="Arial"/>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7F1D1D"/>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D473B"/>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E40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