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00"/>
        <w:jc w:val="center"/>
      </w:pPr>
      <w:r>
        <w:rPr>
          <w:b/>
          <w:bCs/>
          <w:color w:val="C9A776"/>
          <w:spacing w:val="80"/>
          <w:sz w:val="20"/>
          <w:szCs w:val="20"/>
        </w:rPr>
        <w:t xml:space="preserve">BRAND POSITIONING &amp; VISUAL DIRECTION</w:t>
      </w:r>
    </w:p>
    <w:p>
      <w:pPr>
        <w:spacing w:after="300"/>
        <w:jc w:val="center"/>
      </w:pPr>
      <w:r>
        <w:rPr>
          <w:rFonts w:ascii="Cambria" w:cs="Cambria" w:eastAsia="Cambria" w:hAnsi="Cambria"/>
          <w:b/>
          <w:bCs/>
          <w:color w:val="0F1B2D"/>
          <w:sz w:val="56"/>
          <w:szCs w:val="56"/>
        </w:rPr>
        <w:t xml:space="preserve">Premier Utah Real Estate</w:t>
      </w:r>
    </w:p>
    <w:p>
      <w:pPr>
        <w:spacing w:after="1200"/>
        <w:jc w:val="center"/>
      </w:pPr>
      <w:r>
        <w:rPr>
          <w:rFonts w:ascii="Cambria" w:cs="Cambria" w:eastAsia="Cambria" w:hAnsi="Cambria"/>
          <w:i/>
          <w:iCs/>
          <w:color w:val="C9A776"/>
          <w:sz w:val="36"/>
          <w:szCs w:val="36"/>
        </w:rPr>
        <w:t xml:space="preserve">From First Lease to Legacy</w:t>
      </w:r>
    </w:p>
    <w:p>
      <w:pPr>
        <w:jc w:val="center"/>
      </w:pPr>
      <w:r>
        <w:rPr>
          <w:color w:val="5C6776"/>
          <w:sz w:val="18"/>
          <w:szCs w:val="18"/>
        </w:rPr>
        <w:t xml:space="preserve">Strategic Foundation Document · Version 1.0 · May 2026</w:t>
      </w:r>
    </w:p>
    <w:p>
      <w:pPr>
        <w:pageBreakBefore/>
      </w:pPr>
      <w:r>
        <w:t xml:space="preserve"/>
      </w:r>
    </w:p>
    <w:p>
      <w:pPr>
        <w:pStyle w:val="Eyebrow"/>
      </w:pPr>
      <w:r>
        <w:rPr>
          <w:b/>
          <w:bCs/>
          <w:color w:val="C9A776"/>
        </w:rPr>
        <w:t xml:space="preserve">EXECUTIVE SUMMARY</w:t>
      </w:r>
    </w:p>
    <w:p>
      <w:pPr>
        <w:pStyle w:val="Heading1"/>
      </w:pPr>
      <w:r>
        <w:t xml:space="preserve">The wedge nobody else can copy</w:t>
      </w:r>
    </w:p>
    <w:p>
      <w:pPr>
        <w:spacing w:after="160"/>
      </w:pPr>
      <w:r>
        <w:t xml:space="preserve">Premier Utah Real Estate is the only company in Tooele County that owns every stage of homeownership. Most agencies sell a house and the relationship ends at closing. National brands like Compass, Redfin, and Zillow scale by volume — but they have no builder, no property management arm, and no rental footprint. Local Tooele competitors run one-line businesses: a small team or a single broker. Premier is the only firm in the market that can credibly take a customer from their first apartment to their last property — and manage everything in between.</w:t>
      </w:r>
    </w:p>
    <w:p>
      <w:pPr>
        <w:spacing w:after="160"/>
      </w:pPr>
      <w:r>
        <w:t xml:space="preserve">This is not a feature list. It is a product. It is also a moat: the longer a customer stays inside the Premier system, the harder it becomes for a competitor to extract them — and the more valuable our customer data becomes as a marketing engine. Every renter is a future buyer. Every buyer is a future builder. Every builder is a future investor. Every investor is a future property management client and referral source.</w:t>
      </w:r>
    </w:p>
    <w:p>
      <w:pPr>
        <w:spacing w:after="240" w:before="240"/>
        <w:jc w:val="center"/>
      </w:pPr>
      <w:r>
        <w:rPr>
          <w:rFonts w:ascii="Cambria" w:cs="Cambria" w:eastAsia="Cambria" w:hAnsi="Cambria"/>
          <w:i/>
          <w:iCs/>
          <w:color w:val="0F1B2D"/>
          <w:sz w:val="28"/>
          <w:szCs w:val="28"/>
        </w:rPr>
        <w:t xml:space="preserve">"The team that started your journey is still here at the finish line."</w:t>
      </w:r>
    </w:p>
    <w:p>
      <w:pPr>
        <w:spacing w:after="160"/>
      </w:pPr>
      <w:r>
        <w:t xml:space="preserve">The next 24 months of brand strategy, website design, and marketing investment are organized around a single positioning idea: Premier Utah Real Estate is the lifecycle real estate company. We sell more than houses — we sell a relationship that compounds.</w:t>
      </w:r>
    </w:p>
    <w:p>
      <w:pPr>
        <w:pBdr>
          <w:bottom w:val="single" w:color="C9A776" w:sz="6" w:space="1"/>
        </w:pBdr>
        <w:spacing w:after="240" w:before="240"/>
      </w:pPr>
      <w:r>
        <w:t xml:space="preserve"/>
      </w:r>
    </w:p>
    <w:p>
      <w:pPr>
        <w:pStyle w:val="Eyebrow"/>
      </w:pPr>
      <w:r>
        <w:rPr>
          <w:b/>
          <w:bCs/>
          <w:color w:val="C9A776"/>
        </w:rPr>
        <w:t xml:space="preserve">SECTION 1</w:t>
      </w:r>
    </w:p>
    <w:p>
      <w:pPr>
        <w:pStyle w:val="Heading1"/>
      </w:pPr>
      <w:r>
        <w:t xml:space="preserve">Positioning Statement</w:t>
      </w:r>
    </w:p>
    <w:p>
      <w:pPr>
        <w:pStyle w:val="Heading3"/>
      </w:pPr>
      <w:r>
        <w:t xml:space="preserve">For</w:t>
      </w:r>
    </w:p>
    <w:p>
      <w:pPr>
        <w:spacing w:after="160"/>
      </w:pPr>
      <w:r>
        <w:t xml:space="preserve">Tooele County households at any stage of their housing journey — renters, first-time buyers, move-up buyers, new construction buyers, investors, commercial tenants, and property owners — who are tired of being passed from realtor to mortgage broker to landlord to property manager, each one starting over with no memory of the relationship.</w:t>
      </w:r>
    </w:p>
    <w:p>
      <w:pPr>
        <w:pStyle w:val="Heading3"/>
      </w:pPr>
      <w:r>
        <w:t xml:space="preserve">Premier Utah Real Estate is</w:t>
      </w:r>
    </w:p>
    <w:p>
      <w:pPr>
        <w:spacing w:after="160"/>
      </w:pPr>
      <w:r>
        <w:t xml:space="preserve">The only vertically integrated real estate company in Tooele County — combining a 30-year residential brokerage, an exclusive new-construction partnership with UpDwell Homes at Highland Community, a commercial division, a rental marketplace, and a full-service property management arm under one roof, one team, and one account.</w:t>
      </w:r>
    </w:p>
    <w:p>
      <w:pPr>
        <w:pStyle w:val="Heading3"/>
      </w:pPr>
      <w:r>
        <w:t xml:space="preserve">Unlike</w:t>
      </w:r>
    </w:p>
    <w:p>
      <w:pPr>
        <w:spacing w:after="160"/>
      </w:pPr>
      <w:r>
        <w:t xml:space="preserve">National brands (Compass, Redfin, Zillow) that scale by volume but cannot follow you through life stages, or local Tooele agencies that sell houses but have no builder, no PM, and no commercial capability,</w:t>
      </w:r>
    </w:p>
    <w:p>
      <w:pPr>
        <w:pStyle w:val="Heading3"/>
      </w:pPr>
      <w:r>
        <w:t xml:space="preserve">Premier offers</w:t>
      </w:r>
    </w:p>
    <w:p>
      <w:pPr>
        <w:spacing w:after="160"/>
      </w:pPr>
      <w:r>
        <w:t xml:space="preserve">A unified Lifecycle Account — one login, one team, one continuous record of your housing journey — so that the people who helped you rent your first place can also help you build your forever home, manage your investment property, and pass your portfolio to the next generation.</w:t>
      </w:r>
    </w:p>
    <w:p>
      <w:pPr>
        <w:pBdr>
          <w:bottom w:val="single" w:color="C9A776" w:sz="6" w:space="1"/>
        </w:pBdr>
        <w:spacing w:after="240" w:before="240"/>
      </w:pPr>
      <w:r>
        <w:t xml:space="preserve"/>
      </w:r>
    </w:p>
    <w:p>
      <w:pPr>
        <w:pStyle w:val="Eyebrow"/>
      </w:pPr>
      <w:r>
        <w:rPr>
          <w:b/>
          <w:bCs/>
          <w:color w:val="C9A776"/>
        </w:rPr>
        <w:t xml:space="preserve">SECTION 2</w:t>
      </w:r>
    </w:p>
    <w:p>
      <w:pPr>
        <w:pStyle w:val="Heading1"/>
      </w:pPr>
      <w:r>
        <w:t xml:space="preserve">The Lifecycle Wedge</w:t>
      </w:r>
    </w:p>
    <w:p>
      <w:pPr>
        <w:spacing w:after="160"/>
      </w:pPr>
      <w:r>
        <w:t xml:space="preserve">The competitive landscape in Tooele real estate today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E5E0D2" w:sz="4"/>
              <w:left w:val="single" w:color="E5E0D2" w:sz="4"/>
              <w:bottom w:val="single" w:color="E5E0D2" w:sz="4"/>
              <w:right w:val="single" w:color="E5E0D2" w:sz="4"/>
            </w:tcBorders>
            <w:shd w:fill="0F1B2D" w:color="auto" w:val="clear"/>
            <w:tcMar>
              <w:top w:type="dxa" w:w="100"/>
              <w:left w:type="dxa" w:w="140"/>
              <w:bottom w:type="dxa" w:w="100"/>
              <w:right w:type="dxa" w:w="140"/>
            </w:tcMar>
          </w:tcPr>
          <w:p>
            <w:r>
              <w:rPr>
                <w:b/>
                <w:bCs/>
                <w:color w:val="FFFFFF"/>
                <w:sz w:val="20"/>
                <w:szCs w:val="20"/>
              </w:rPr>
              <w:t xml:space="preserve">Company Type</w:t>
            </w:r>
          </w:p>
        </w:tc>
        <w:tc>
          <w:tcPr>
            <w:tcW w:type="dxa" w:w="1755"/>
            <w:tcBorders>
              <w:top w:val="single" w:color="E5E0D2" w:sz="4"/>
              <w:left w:val="single" w:color="E5E0D2" w:sz="4"/>
              <w:bottom w:val="single" w:color="E5E0D2" w:sz="4"/>
              <w:right w:val="single" w:color="E5E0D2" w:sz="4"/>
            </w:tcBorders>
            <w:shd w:fill="0F1B2D" w:color="auto" w:val="clear"/>
            <w:tcMar>
              <w:top w:type="dxa" w:w="100"/>
              <w:left w:type="dxa" w:w="140"/>
              <w:bottom w:type="dxa" w:w="100"/>
              <w:right w:type="dxa" w:w="140"/>
            </w:tcMar>
          </w:tcPr>
          <w:p>
            <w:r>
              <w:rPr>
                <w:b/>
                <w:bCs/>
                <w:color w:val="FFFFFF"/>
                <w:sz w:val="20"/>
                <w:szCs w:val="20"/>
              </w:rPr>
              <w:t xml:space="preserve">Sells Homes</w:t>
            </w:r>
          </w:p>
        </w:tc>
        <w:tc>
          <w:tcPr>
            <w:tcW w:type="dxa" w:w="1755"/>
            <w:tcBorders>
              <w:top w:val="single" w:color="E5E0D2" w:sz="4"/>
              <w:left w:val="single" w:color="E5E0D2" w:sz="4"/>
              <w:bottom w:val="single" w:color="E5E0D2" w:sz="4"/>
              <w:right w:val="single" w:color="E5E0D2" w:sz="4"/>
            </w:tcBorders>
            <w:shd w:fill="0F1B2D" w:color="auto" w:val="clear"/>
            <w:tcMar>
              <w:top w:type="dxa" w:w="100"/>
              <w:left w:type="dxa" w:w="140"/>
              <w:bottom w:type="dxa" w:w="100"/>
              <w:right w:type="dxa" w:w="140"/>
            </w:tcMar>
          </w:tcPr>
          <w:p>
            <w:r>
              <w:rPr>
                <w:b/>
                <w:bCs/>
                <w:color w:val="FFFFFF"/>
                <w:sz w:val="20"/>
                <w:szCs w:val="20"/>
              </w:rPr>
              <w:t xml:space="preserve">Builds New</w:t>
            </w:r>
          </w:p>
        </w:tc>
        <w:tc>
          <w:tcPr>
            <w:tcW w:type="dxa" w:w="1755"/>
            <w:tcBorders>
              <w:top w:val="single" w:color="E5E0D2" w:sz="4"/>
              <w:left w:val="single" w:color="E5E0D2" w:sz="4"/>
              <w:bottom w:val="single" w:color="E5E0D2" w:sz="4"/>
              <w:right w:val="single" w:color="E5E0D2" w:sz="4"/>
            </w:tcBorders>
            <w:shd w:fill="0F1B2D" w:color="auto" w:val="clear"/>
            <w:tcMar>
              <w:top w:type="dxa" w:w="100"/>
              <w:left w:type="dxa" w:w="140"/>
              <w:bottom w:type="dxa" w:w="100"/>
              <w:right w:type="dxa" w:w="140"/>
            </w:tcMar>
          </w:tcPr>
          <w:p>
            <w:r>
              <w:rPr>
                <w:b/>
                <w:bCs/>
                <w:color w:val="FFFFFF"/>
                <w:sz w:val="20"/>
                <w:szCs w:val="20"/>
              </w:rPr>
              <w:t xml:space="preserve">Manages Rentals</w:t>
            </w:r>
          </w:p>
        </w:tc>
        <w:tc>
          <w:tcPr>
            <w:tcW w:type="dxa" w:w="1755"/>
            <w:tcBorders>
              <w:top w:val="single" w:color="E5E0D2" w:sz="4"/>
              <w:left w:val="single" w:color="E5E0D2" w:sz="4"/>
              <w:bottom w:val="single" w:color="E5E0D2" w:sz="4"/>
              <w:right w:val="single" w:color="E5E0D2" w:sz="4"/>
            </w:tcBorders>
            <w:shd w:fill="0F1B2D" w:color="auto" w:val="clear"/>
            <w:tcMar>
              <w:top w:type="dxa" w:w="100"/>
              <w:left w:type="dxa" w:w="140"/>
              <w:bottom w:type="dxa" w:w="100"/>
              <w:right w:type="dxa" w:w="140"/>
            </w:tcMar>
          </w:tcPr>
          <w:p>
            <w:r>
              <w:rPr>
                <w:b/>
                <w:bCs/>
                <w:color w:val="FFFFFF"/>
                <w:sz w:val="20"/>
                <w:szCs w:val="20"/>
              </w:rPr>
              <w:t xml:space="preserve">Commercial</w:t>
            </w:r>
          </w:p>
        </w:tc>
      </w:tr>
      <w:tr>
        <w:tc>
          <w:tcPr>
            <w:tcW w:type="dxa" w:w="234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b/>
                <w:bCs/>
                <w:sz w:val="20"/>
                <w:szCs w:val="20"/>
              </w:rPr>
              <w:t xml:space="preserve">Compass / Redfin / Zillow</w:t>
            </w:r>
          </w:p>
        </w:tc>
        <w:tc>
          <w:tcPr>
            <w:tcW w:type="dxa" w:w="1755"/>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Yes</w:t>
            </w:r>
          </w:p>
        </w:tc>
        <w:tc>
          <w:tcPr>
            <w:tcW w:type="dxa" w:w="1755"/>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color w:val="B6463A"/>
                <w:sz w:val="20"/>
                <w:szCs w:val="20"/>
              </w:rPr>
              <w:t xml:space="preserve">No</w:t>
            </w:r>
          </w:p>
        </w:tc>
        <w:tc>
          <w:tcPr>
            <w:tcW w:type="dxa" w:w="1755"/>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color w:val="B6463A"/>
                <w:sz w:val="20"/>
                <w:szCs w:val="20"/>
              </w:rPr>
              <w:t xml:space="preserve">No</w:t>
            </w:r>
          </w:p>
        </w:tc>
        <w:tc>
          <w:tcPr>
            <w:tcW w:type="dxa" w:w="1755"/>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Limited</w:t>
            </w:r>
          </w:p>
        </w:tc>
      </w:tr>
      <w:tr>
        <w:tc>
          <w:tcPr>
            <w:tcW w:type="dxa" w:w="234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b/>
                <w:bCs/>
                <w:sz w:val="20"/>
                <w:szCs w:val="20"/>
              </w:rPr>
              <w:t xml:space="preserve">Summit Sotheby’s (Tooele)</w:t>
            </w:r>
          </w:p>
        </w:tc>
        <w:tc>
          <w:tcPr>
            <w:tcW w:type="dxa" w:w="1755"/>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Yes</w:t>
            </w:r>
          </w:p>
        </w:tc>
        <w:tc>
          <w:tcPr>
            <w:tcW w:type="dxa" w:w="1755"/>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color w:val="B6463A"/>
                <w:sz w:val="20"/>
                <w:szCs w:val="20"/>
              </w:rPr>
              <w:t xml:space="preserve">No</w:t>
            </w:r>
          </w:p>
        </w:tc>
        <w:tc>
          <w:tcPr>
            <w:tcW w:type="dxa" w:w="1755"/>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color w:val="B6463A"/>
                <w:sz w:val="20"/>
                <w:szCs w:val="20"/>
              </w:rPr>
              <w:t xml:space="preserve">No</w:t>
            </w:r>
          </w:p>
        </w:tc>
        <w:tc>
          <w:tcPr>
            <w:tcW w:type="dxa" w:w="1755"/>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color w:val="B6463A"/>
                <w:sz w:val="20"/>
                <w:szCs w:val="20"/>
              </w:rPr>
              <w:t xml:space="preserve">No</w:t>
            </w:r>
          </w:p>
        </w:tc>
      </w:tr>
      <w:tr>
        <w:tc>
          <w:tcPr>
            <w:tcW w:type="dxa" w:w="234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b/>
                <w:bCs/>
                <w:sz w:val="20"/>
                <w:szCs w:val="20"/>
              </w:rPr>
              <w:t xml:space="preserve">Mustard Seed / High Road / Wise Choice</w:t>
            </w:r>
          </w:p>
        </w:tc>
        <w:tc>
          <w:tcPr>
            <w:tcW w:type="dxa" w:w="1755"/>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Yes</w:t>
            </w:r>
          </w:p>
        </w:tc>
        <w:tc>
          <w:tcPr>
            <w:tcW w:type="dxa" w:w="1755"/>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color w:val="B6463A"/>
                <w:sz w:val="20"/>
                <w:szCs w:val="20"/>
              </w:rPr>
              <w:t xml:space="preserve">No</w:t>
            </w:r>
          </w:p>
        </w:tc>
        <w:tc>
          <w:tcPr>
            <w:tcW w:type="dxa" w:w="1755"/>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color w:val="B6463A"/>
                <w:sz w:val="20"/>
                <w:szCs w:val="20"/>
              </w:rPr>
              <w:t xml:space="preserve">No</w:t>
            </w:r>
          </w:p>
        </w:tc>
        <w:tc>
          <w:tcPr>
            <w:tcW w:type="dxa" w:w="1755"/>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color w:val="B6463A"/>
                <w:sz w:val="20"/>
                <w:szCs w:val="20"/>
              </w:rPr>
              <w:t xml:space="preserve">No</w:t>
            </w:r>
          </w:p>
        </w:tc>
      </w:tr>
      <w:tr>
        <w:tc>
          <w:tcPr>
            <w:tcW w:type="dxa" w:w="2340"/>
            <w:tcBorders>
              <w:top w:val="single" w:color="E5E0D2" w:sz="4"/>
              <w:left w:val="single" w:color="E5E0D2" w:sz="4"/>
              <w:bottom w:val="single" w:color="E5E0D2" w:sz="4"/>
              <w:right w:val="single" w:color="E5E0D2" w:sz="4"/>
            </w:tcBorders>
            <w:shd w:fill="F0EBE0" w:color="auto" w:val="clear"/>
            <w:tcMar>
              <w:top w:type="dxa" w:w="100"/>
              <w:left w:type="dxa" w:w="140"/>
              <w:bottom w:type="dxa" w:w="100"/>
              <w:right w:type="dxa" w:w="140"/>
            </w:tcMar>
          </w:tcPr>
          <w:p>
            <w:r>
              <w:rPr>
                <w:b/>
                <w:bCs/>
                <w:sz w:val="20"/>
                <w:szCs w:val="20"/>
              </w:rPr>
              <w:t xml:space="preserve">Premier Utah Real Estate</w:t>
            </w:r>
          </w:p>
        </w:tc>
        <w:tc>
          <w:tcPr>
            <w:tcW w:type="dxa" w:w="1755"/>
            <w:tcBorders>
              <w:top w:val="single" w:color="E5E0D2" w:sz="4"/>
              <w:left w:val="single" w:color="E5E0D2" w:sz="4"/>
              <w:bottom w:val="single" w:color="E5E0D2" w:sz="4"/>
              <w:right w:val="single" w:color="E5E0D2" w:sz="4"/>
            </w:tcBorders>
            <w:shd w:fill="F0EBE0" w:color="auto" w:val="clear"/>
            <w:tcMar>
              <w:top w:type="dxa" w:w="100"/>
              <w:left w:type="dxa" w:w="140"/>
              <w:bottom w:type="dxa" w:w="100"/>
              <w:right w:type="dxa" w:w="140"/>
            </w:tcMar>
          </w:tcPr>
          <w:p>
            <w:r>
              <w:rPr>
                <w:b/>
                <w:bCs/>
                <w:sz w:val="20"/>
                <w:szCs w:val="20"/>
              </w:rPr>
              <w:t xml:space="preserve">Yes</w:t>
            </w:r>
          </w:p>
        </w:tc>
        <w:tc>
          <w:tcPr>
            <w:tcW w:type="dxa" w:w="1755"/>
            <w:tcBorders>
              <w:top w:val="single" w:color="E5E0D2" w:sz="4"/>
              <w:left w:val="single" w:color="E5E0D2" w:sz="4"/>
              <w:bottom w:val="single" w:color="E5E0D2" w:sz="4"/>
              <w:right w:val="single" w:color="E5E0D2" w:sz="4"/>
            </w:tcBorders>
            <w:shd w:fill="F0EBE0" w:color="auto" w:val="clear"/>
            <w:tcMar>
              <w:top w:type="dxa" w:w="100"/>
              <w:left w:type="dxa" w:w="140"/>
              <w:bottom w:type="dxa" w:w="100"/>
              <w:right w:type="dxa" w:w="140"/>
            </w:tcMar>
          </w:tcPr>
          <w:p>
            <w:r>
              <w:rPr>
                <w:b/>
                <w:bCs/>
                <w:sz w:val="20"/>
                <w:szCs w:val="20"/>
              </w:rPr>
              <w:t xml:space="preserve">Yes (UpDwell)</w:t>
            </w:r>
          </w:p>
        </w:tc>
        <w:tc>
          <w:tcPr>
            <w:tcW w:type="dxa" w:w="1755"/>
            <w:tcBorders>
              <w:top w:val="single" w:color="E5E0D2" w:sz="4"/>
              <w:left w:val="single" w:color="E5E0D2" w:sz="4"/>
              <w:bottom w:val="single" w:color="E5E0D2" w:sz="4"/>
              <w:right w:val="single" w:color="E5E0D2" w:sz="4"/>
            </w:tcBorders>
            <w:shd w:fill="F0EBE0" w:color="auto" w:val="clear"/>
            <w:tcMar>
              <w:top w:type="dxa" w:w="100"/>
              <w:left w:type="dxa" w:w="140"/>
              <w:bottom w:type="dxa" w:w="100"/>
              <w:right w:type="dxa" w:w="140"/>
            </w:tcMar>
          </w:tcPr>
          <w:p>
            <w:r>
              <w:rPr>
                <w:b/>
                <w:bCs/>
                <w:sz w:val="20"/>
                <w:szCs w:val="20"/>
              </w:rPr>
              <w:t xml:space="preserve">Yes</w:t>
            </w:r>
          </w:p>
        </w:tc>
        <w:tc>
          <w:tcPr>
            <w:tcW w:type="dxa" w:w="1755"/>
            <w:tcBorders>
              <w:top w:val="single" w:color="E5E0D2" w:sz="4"/>
              <w:left w:val="single" w:color="E5E0D2" w:sz="4"/>
              <w:bottom w:val="single" w:color="E5E0D2" w:sz="4"/>
              <w:right w:val="single" w:color="E5E0D2" w:sz="4"/>
            </w:tcBorders>
            <w:shd w:fill="F0EBE0" w:color="auto" w:val="clear"/>
            <w:tcMar>
              <w:top w:type="dxa" w:w="100"/>
              <w:left w:type="dxa" w:w="140"/>
              <w:bottom w:type="dxa" w:w="100"/>
              <w:right w:type="dxa" w:w="140"/>
            </w:tcMar>
          </w:tcPr>
          <w:p>
            <w:r>
              <w:rPr>
                <w:b/>
                <w:bCs/>
                <w:sz w:val="20"/>
                <w:szCs w:val="20"/>
              </w:rPr>
              <w:t xml:space="preserve">Yes</w:t>
            </w:r>
          </w:p>
        </w:tc>
      </w:tr>
    </w:tbl>
    <w:p>
      <w:pPr>
        <w:spacing w:before="240"/>
      </w:pPr>
      <w:r>
        <w:t xml:space="preserve"/>
      </w:r>
    </w:p>
    <w:p>
      <w:pPr>
        <w:spacing w:after="160"/>
      </w:pPr>
      <w:r>
        <w:t xml:space="preserve">Premier is the only company in the row that owns every column. This is not an accident of 30 years in business — it is a strategic asset that has never been marketed as one. The website rebuild and the 24-month marketing plan exist to make this asset visible, repeatable, and defensible.</w:t>
      </w:r>
    </w:p>
    <w:p>
      <w:pPr>
        <w:pBdr>
          <w:bottom w:val="single" w:color="C9A776" w:sz="6" w:space="1"/>
        </w:pBdr>
        <w:spacing w:after="240" w:before="240"/>
      </w:pPr>
      <w:r>
        <w:t xml:space="preserve"/>
      </w:r>
    </w:p>
    <w:p>
      <w:pPr>
        <w:pStyle w:val="Eyebrow"/>
      </w:pPr>
      <w:r>
        <w:rPr>
          <w:b/>
          <w:bCs/>
          <w:color w:val="C9A776"/>
        </w:rPr>
        <w:t xml:space="preserve">SECTION 3</w:t>
      </w:r>
    </w:p>
    <w:p>
      <w:pPr>
        <w:pStyle w:val="Heading1"/>
      </w:pPr>
      <w:r>
        <w:t xml:space="preserve">Five Lifecycle Audiences</w:t>
      </w:r>
    </w:p>
    <w:p>
      <w:pPr>
        <w:spacing w:after="160"/>
      </w:pPr>
      <w:r>
        <w:t xml:space="preserve">Premier markets to five distinct audiences, each at a different stage of the lifecycle. The Lifecycle Account is the throughline that moves a customer from Stage 1 to Stage 5 over their lifetime.</w:t>
      </w:r>
    </w:p>
    <w:p>
      <w:pPr>
        <w:pStyle w:val="Heading3"/>
      </w:pPr>
      <w:r>
        <w:t xml:space="preserve">Stage 1 — The First-Lease Renter</w:t>
      </w:r>
    </w:p>
    <w:p>
      <w:pPr>
        <w:spacing w:after="160"/>
      </w:pPr>
      <w:r>
        <w:t xml:space="preserve">Age 22–34. Recently moved to Tooele for affordability, commute to SLC, or military reassignment at Dugway. Renting because they cannot yet buy. Premier captures them through rental listings on Zillow + our own marketplace, vets them as tenants, and stores their data in the CRM for the day they become a buyer.</w:t>
      </w:r>
    </w:p>
    <w:p>
      <w:pPr>
        <w:pStyle w:val="Heading3"/>
      </w:pPr>
      <w:r>
        <w:t xml:space="preserve">Stage 2 — The First-Time Buyer</w:t>
      </w:r>
    </w:p>
    <w:p>
      <w:pPr>
        <w:spacing w:after="160"/>
      </w:pPr>
      <w:r>
        <w:t xml:space="preserve">Age 28–40. Often a Stage 1 graduate. Has a down payment, a stable Wasatch Front job, and Tooele is what they can afford. Sensitive to commute time and school quality. Premier wins them with the Tooele-specific neighborhood guide, mortgage pre-qual flow, and a buyer’s agent who has lived in the area for a decade.</w:t>
      </w:r>
    </w:p>
    <w:p>
      <w:pPr>
        <w:pStyle w:val="Heading3"/>
      </w:pPr>
      <w:r>
        <w:t xml:space="preserve">Stage 3 — The Move-Up Builder Buyer</w:t>
      </w:r>
    </w:p>
    <w:p>
      <w:pPr>
        <w:spacing w:after="160"/>
      </w:pPr>
      <w:r>
        <w:t xml:space="preserve">Age 32–48. Outgrew their first home, has equity, has a third child or wants land. Premier wins them with the exclusive UpDwell partnership at Highland Community in Grantsville — they tour resale homes through us and new builds through us, with the same agent on both sides.</w:t>
      </w:r>
    </w:p>
    <w:p>
      <w:pPr>
        <w:pStyle w:val="Heading3"/>
      </w:pPr>
      <w:r>
        <w:t xml:space="preserve">Stage 4 — The Tooele Investor</w:t>
      </w:r>
    </w:p>
    <w:p>
      <w:pPr>
        <w:spacing w:after="160"/>
      </w:pPr>
      <w:r>
        <w:t xml:space="preserve">Age 38–60. Owns at least one property, has W-2 income or business income, wants real estate as a tax shelter and inflation hedge. Premier wins them by being the only Tooele firm with both a brokerage and a PM division — they can buy the rental and have us run it the same week.</w:t>
      </w:r>
    </w:p>
    <w:p>
      <w:pPr>
        <w:pStyle w:val="Heading3"/>
      </w:pPr>
      <w:r>
        <w:t xml:space="preserve">Stage 5 — The Portfolio Client</w:t>
      </w:r>
    </w:p>
    <w:p>
      <w:pPr>
        <w:spacing w:after="160"/>
      </w:pPr>
      <w:r>
        <w:t xml:space="preserve">Age 45+. Owns 2–10 doors, wants performance reporting and zero phone calls. Premier’s PM division is their operations team. The brokerage helps them 1031-exchange into bigger assets every 5–10 years. Highest-LTV customer in the system.</w:t>
      </w:r>
    </w:p>
    <w:p>
      <w:pPr>
        <w:pBdr>
          <w:bottom w:val="single" w:color="C9A776" w:sz="6" w:space="1"/>
        </w:pBdr>
        <w:spacing w:after="240" w:before="240"/>
      </w:pPr>
      <w:r>
        <w:t xml:space="preserve"/>
      </w:r>
    </w:p>
    <w:p>
      <w:pPr>
        <w:pStyle w:val="Eyebrow"/>
      </w:pPr>
      <w:r>
        <w:rPr>
          <w:b/>
          <w:bCs/>
          <w:color w:val="C9A776"/>
        </w:rPr>
        <w:t xml:space="preserve">SECTION 4</w:t>
      </w:r>
    </w:p>
    <w:p>
      <w:pPr>
        <w:pStyle w:val="Heading1"/>
      </w:pPr>
      <w:r>
        <w:t xml:space="preserve">Value Proposition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E5E0D2" w:sz="4"/>
              <w:left w:val="single" w:color="E5E0D2" w:sz="4"/>
              <w:bottom w:val="single" w:color="E5E0D2" w:sz="4"/>
              <w:right w:val="single" w:color="E5E0D2" w:sz="4"/>
            </w:tcBorders>
            <w:shd w:fill="0F1B2D" w:color="auto" w:val="clear"/>
            <w:tcMar>
              <w:top w:type="dxa" w:w="100"/>
              <w:left w:type="dxa" w:w="140"/>
              <w:bottom w:type="dxa" w:w="100"/>
              <w:right w:type="dxa" w:w="140"/>
            </w:tcMar>
          </w:tcPr>
          <w:p>
            <w:r>
              <w:rPr>
                <w:b/>
                <w:bCs/>
                <w:color w:val="FFFFFF"/>
                <w:sz w:val="20"/>
                <w:szCs w:val="20"/>
              </w:rPr>
              <w:t xml:space="preserve">Audience</w:t>
            </w:r>
          </w:p>
        </w:tc>
        <w:tc>
          <w:tcPr>
            <w:tcW w:type="dxa" w:w="7020"/>
            <w:tcBorders>
              <w:top w:val="single" w:color="E5E0D2" w:sz="4"/>
              <w:left w:val="single" w:color="E5E0D2" w:sz="4"/>
              <w:bottom w:val="single" w:color="E5E0D2" w:sz="4"/>
              <w:right w:val="single" w:color="E5E0D2" w:sz="4"/>
            </w:tcBorders>
            <w:shd w:fill="0F1B2D" w:color="auto" w:val="clear"/>
            <w:tcMar>
              <w:top w:type="dxa" w:w="100"/>
              <w:left w:type="dxa" w:w="140"/>
              <w:bottom w:type="dxa" w:w="100"/>
              <w:right w:type="dxa" w:w="140"/>
            </w:tcMar>
          </w:tcPr>
          <w:p>
            <w:r>
              <w:rPr>
                <w:b/>
                <w:bCs/>
                <w:color w:val="FFFFFF"/>
                <w:sz w:val="20"/>
                <w:szCs w:val="20"/>
              </w:rPr>
              <w:t xml:space="preserve">Core Promise</w:t>
            </w:r>
          </w:p>
        </w:tc>
      </w:tr>
      <w:tr>
        <w:tc>
          <w:tcPr>
            <w:tcW w:type="dxa" w:w="2340"/>
            <w:tcBorders>
              <w:top w:val="single" w:color="E5E0D2" w:sz="4"/>
              <w:left w:val="single" w:color="E5E0D2" w:sz="4"/>
              <w:bottom w:val="single" w:color="E5E0D2" w:sz="4"/>
              <w:right w:val="single" w:color="E5E0D2" w:sz="4"/>
            </w:tcBorders>
            <w:shd w:fill="F0EBE0" w:color="auto" w:val="clear"/>
            <w:tcMar>
              <w:top w:type="dxa" w:w="100"/>
              <w:left w:type="dxa" w:w="140"/>
              <w:bottom w:type="dxa" w:w="100"/>
              <w:right w:type="dxa" w:w="140"/>
            </w:tcMar>
          </w:tcPr>
          <w:p>
            <w:r>
              <w:rPr>
                <w:b/>
                <w:bCs/>
                <w:sz w:val="20"/>
                <w:szCs w:val="20"/>
              </w:rPr>
              <w:t xml:space="preserve">Renter</w:t>
            </w:r>
          </w:p>
        </w:tc>
        <w:tc>
          <w:tcPr>
            <w:tcW w:type="dxa" w:w="702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"Rent through Premier and you’ll never have to start over when you’re ready to buy. We already know you."</w:t>
            </w:r>
          </w:p>
        </w:tc>
      </w:tr>
      <w:tr>
        <w:tc>
          <w:tcPr>
            <w:tcW w:type="dxa" w:w="2340"/>
            <w:tcBorders>
              <w:top w:val="single" w:color="E5E0D2" w:sz="4"/>
              <w:left w:val="single" w:color="E5E0D2" w:sz="4"/>
              <w:bottom w:val="single" w:color="E5E0D2" w:sz="4"/>
              <w:right w:val="single" w:color="E5E0D2" w:sz="4"/>
            </w:tcBorders>
            <w:shd w:fill="F0EBE0" w:color="auto" w:val="clear"/>
            <w:tcMar>
              <w:top w:type="dxa" w:w="100"/>
              <w:left w:type="dxa" w:w="140"/>
              <w:bottom w:type="dxa" w:w="100"/>
              <w:right w:type="dxa" w:w="140"/>
            </w:tcMar>
          </w:tcPr>
          <w:p>
            <w:r>
              <w:rPr>
                <w:b/>
                <w:bCs/>
                <w:sz w:val="20"/>
                <w:szCs w:val="20"/>
              </w:rPr>
              <w:t xml:space="preserve">First-Time Buyer</w:t>
            </w:r>
          </w:p>
        </w:tc>
        <w:tc>
          <w:tcPr>
            <w:tcW w:type="dxa" w:w="702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"Tooele is the smartest market in Utah for first-time buyers. We’ll prove it with the data, then find you the house."</w:t>
            </w:r>
          </w:p>
        </w:tc>
      </w:tr>
      <w:tr>
        <w:tc>
          <w:tcPr>
            <w:tcW w:type="dxa" w:w="2340"/>
            <w:tcBorders>
              <w:top w:val="single" w:color="E5E0D2" w:sz="4"/>
              <w:left w:val="single" w:color="E5E0D2" w:sz="4"/>
              <w:bottom w:val="single" w:color="E5E0D2" w:sz="4"/>
              <w:right w:val="single" w:color="E5E0D2" w:sz="4"/>
            </w:tcBorders>
            <w:shd w:fill="F0EBE0" w:color="auto" w:val="clear"/>
            <w:tcMar>
              <w:top w:type="dxa" w:w="100"/>
              <w:left w:type="dxa" w:w="140"/>
              <w:bottom w:type="dxa" w:w="100"/>
              <w:right w:type="dxa" w:w="140"/>
            </w:tcMar>
          </w:tcPr>
          <w:p>
            <w:r>
              <w:rPr>
                <w:b/>
                <w:bCs/>
                <w:sz w:val="20"/>
                <w:szCs w:val="20"/>
              </w:rPr>
              <w:t xml:space="preserve">Move-Up / Builder</w:t>
            </w:r>
          </w:p>
        </w:tc>
        <w:tc>
          <w:tcPr>
            <w:tcW w:type="dxa" w:w="702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"Sell the starter, buy the dream, build the next one — same team, no handoffs, no surprises."</w:t>
            </w:r>
          </w:p>
        </w:tc>
      </w:tr>
      <w:tr>
        <w:tc>
          <w:tcPr>
            <w:tcW w:type="dxa" w:w="2340"/>
            <w:tcBorders>
              <w:top w:val="single" w:color="E5E0D2" w:sz="4"/>
              <w:left w:val="single" w:color="E5E0D2" w:sz="4"/>
              <w:bottom w:val="single" w:color="E5E0D2" w:sz="4"/>
              <w:right w:val="single" w:color="E5E0D2" w:sz="4"/>
            </w:tcBorders>
            <w:shd w:fill="F0EBE0" w:color="auto" w:val="clear"/>
            <w:tcMar>
              <w:top w:type="dxa" w:w="100"/>
              <w:left w:type="dxa" w:w="140"/>
              <w:bottom w:type="dxa" w:w="100"/>
              <w:right w:type="dxa" w:w="140"/>
            </w:tcMar>
          </w:tcPr>
          <w:p>
            <w:r>
              <w:rPr>
                <w:b/>
                <w:bCs/>
                <w:sz w:val="20"/>
                <w:szCs w:val="20"/>
              </w:rPr>
              <w:t xml:space="preserve">Investor</w:t>
            </w:r>
          </w:p>
        </w:tc>
        <w:tc>
          <w:tcPr>
            <w:tcW w:type="dxa" w:w="702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"Buy the rental on Monday. Have it leased and managed by Friday. We do both sides."</w:t>
            </w:r>
          </w:p>
        </w:tc>
      </w:tr>
      <w:tr>
        <w:tc>
          <w:tcPr>
            <w:tcW w:type="dxa" w:w="2340"/>
            <w:tcBorders>
              <w:top w:val="single" w:color="E5E0D2" w:sz="4"/>
              <w:left w:val="single" w:color="E5E0D2" w:sz="4"/>
              <w:bottom w:val="single" w:color="E5E0D2" w:sz="4"/>
              <w:right w:val="single" w:color="E5E0D2" w:sz="4"/>
            </w:tcBorders>
            <w:shd w:fill="F0EBE0" w:color="auto" w:val="clear"/>
            <w:tcMar>
              <w:top w:type="dxa" w:w="100"/>
              <w:left w:type="dxa" w:w="140"/>
              <w:bottom w:type="dxa" w:w="100"/>
              <w:right w:type="dxa" w:w="140"/>
            </w:tcMar>
          </w:tcPr>
          <w:p>
            <w:r>
              <w:rPr>
                <w:b/>
                <w:bCs/>
                <w:sz w:val="20"/>
                <w:szCs w:val="20"/>
              </w:rPr>
              <w:t xml:space="preserve">Portfolio</w:t>
            </w:r>
          </w:p>
        </w:tc>
        <w:tc>
          <w:tcPr>
            <w:tcW w:type="dxa" w:w="702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"Your real estate, run like a business. Monthly statements, zero phone calls, growth on autopilot."</w:t>
            </w:r>
          </w:p>
        </w:tc>
      </w:tr>
    </w:tbl>
    <w:p>
      <w:pPr>
        <w:pBdr>
          <w:bottom w:val="single" w:color="C9A776" w:sz="6" w:space="1"/>
        </w:pBdr>
        <w:spacing w:after="240" w:before="240"/>
      </w:pPr>
      <w:r>
        <w:t xml:space="preserve"/>
      </w:r>
    </w:p>
    <w:p>
      <w:pPr>
        <w:pStyle w:val="Eyebrow"/>
      </w:pPr>
      <w:r>
        <w:rPr>
          <w:b/>
          <w:bCs/>
          <w:color w:val="C9A776"/>
        </w:rPr>
        <w:t xml:space="preserve">SECTION 5</w:t>
      </w:r>
    </w:p>
    <w:p>
      <w:pPr>
        <w:pStyle w:val="Heading1"/>
      </w:pPr>
      <w:r>
        <w:t xml:space="preserve">Brand Voice &amp; Tone</w:t>
      </w:r>
    </w:p>
    <w:p>
      <w:pPr>
        <w:spacing w:after="160"/>
      </w:pPr>
      <w:r>
        <w:t xml:space="preserve">Premier’s voice is the voice of a 30-year Tooele neighbor who happens to have built a serious business. It is grounded, plainspoken, and confident — never breezy, never corporate, never glossy. We are not Compass and we should not try to sound like them. We are not Zillow either. We are the third option: the trusted local operator who has data, polish, and integrity in equal measure.</w:t>
      </w:r>
    </w:p>
    <w:p>
      <w:pPr>
        <w:pStyle w:val="Heading3"/>
      </w:pPr>
      <w:r>
        <w:t xml:space="preserve">Voice attributes</w:t>
      </w:r>
    </w:p>
    <w:p>
      <w:pPr>
        <w:pStyle w:val="ListParagraph"/>
        <w:numPr>
          <w:ilvl w:val="0"/>
          <w:numId w:val="2"/>
        </w:numPr>
        <w:spacing w:after="100"/>
      </w:pPr>
      <w:r>
        <w:t xml:space="preserve">Grounded — we use specific Tooele place names, real numbers, and concrete examples instead of abstractions.</w:t>
      </w:r>
    </w:p>
    <w:p>
      <w:pPr>
        <w:pStyle w:val="ListParagraph"/>
        <w:numPr>
          <w:ilvl w:val="0"/>
          <w:numId w:val="2"/>
        </w:numPr>
        <w:spacing w:after="100"/>
      </w:pPr>
      <w:r>
        <w:t xml:space="preserve">Plainspoken — no jargon, no "luxury lifestyle," no "white-glove concierge." We sound like the agent in person.</w:t>
      </w:r>
    </w:p>
    <w:p>
      <w:pPr>
        <w:pStyle w:val="ListParagraph"/>
        <w:numPr>
          <w:ilvl w:val="0"/>
          <w:numId w:val="2"/>
        </w:numPr>
        <w:spacing w:after="100"/>
      </w:pPr>
      <w:r>
        <w:t xml:space="preserve">Confident — we don’t hedge. If we say we know the Stansbury market, we name the streets.</w:t>
      </w:r>
    </w:p>
    <w:p>
      <w:pPr>
        <w:pStyle w:val="ListParagraph"/>
        <w:numPr>
          <w:ilvl w:val="0"/>
          <w:numId w:val="2"/>
        </w:numPr>
        <w:spacing w:after="100"/>
      </w:pPr>
      <w:r>
        <w:t xml:space="preserve">Long-game — we write like people who plan to be here for thirty more years, not thirty more days.</w:t>
      </w:r>
    </w:p>
    <w:p>
      <w:pPr>
        <w:pStyle w:val="ListParagraph"/>
        <w:numPr>
          <w:ilvl w:val="0"/>
          <w:numId w:val="2"/>
        </w:numPr>
        <w:spacing w:after="100"/>
      </w:pPr>
      <w:r>
        <w:t xml:space="preserve">Warm but not cute — friendly tone, but never folksy or condescending.</w:t>
      </w:r>
    </w:p>
    <w:p>
      <w:pPr>
        <w:pStyle w:val="Heading3"/>
      </w:pPr>
      <w:r>
        <w:t xml:space="preserve">Voice we avoid</w:t>
      </w:r>
    </w:p>
    <w:p>
      <w:pPr>
        <w:pStyle w:val="ListParagraph"/>
        <w:numPr>
          <w:ilvl w:val="0"/>
          <w:numId w:val="2"/>
        </w:numPr>
        <w:spacing w:after="100"/>
      </w:pPr>
      <w:r>
        <w:t xml:space="preserve">"Your dream home awaits" — clichéd, no Tooele competitor should use this in 2026.</w:t>
      </w:r>
    </w:p>
    <w:p>
      <w:pPr>
        <w:pStyle w:val="ListParagraph"/>
        <w:numPr>
          <w:ilvl w:val="0"/>
          <w:numId w:val="2"/>
        </w:numPr>
        <w:spacing w:after="100"/>
      </w:pPr>
      <w:r>
        <w:t xml:space="preserve">"Luxury living redefined" — wrong segment, wrong market.</w:t>
      </w:r>
    </w:p>
    <w:p>
      <w:pPr>
        <w:pStyle w:val="ListParagraph"/>
        <w:numPr>
          <w:ilvl w:val="0"/>
          <w:numId w:val="2"/>
        </w:numPr>
        <w:spacing w:after="100"/>
      </w:pPr>
      <w:r>
        <w:t xml:space="preserve">"We’re here for you every step of the way" — exactly what every other realtor says.</w:t>
      </w:r>
    </w:p>
    <w:p>
      <w:pPr>
        <w:pStyle w:val="ListParagraph"/>
        <w:numPr>
          <w:ilvl w:val="0"/>
          <w:numId w:val="2"/>
        </w:numPr>
        <w:spacing w:after="100"/>
      </w:pPr>
      <w:r>
        <w:t xml:space="preserve">Excessive exclamation points or emoji — undermines the 30-year credibility.</w:t>
      </w:r>
    </w:p>
    <w:p>
      <w:pPr>
        <w:pStyle w:val="Heading3"/>
      </w:pPr>
      <w:r>
        <w:t xml:space="preserve">Phrases we will own</w:t>
      </w:r>
    </w:p>
    <w:p>
      <w:pPr>
        <w:spacing w:after="240" w:before="240"/>
        <w:jc w:val="center"/>
      </w:pPr>
      <w:r>
        <w:rPr>
          <w:rFonts w:ascii="Cambria" w:cs="Cambria" w:eastAsia="Cambria" w:hAnsi="Cambria"/>
          <w:i/>
          <w:iCs/>
          <w:color w:val="0F1B2D"/>
          <w:sz w:val="28"/>
          <w:szCs w:val="28"/>
        </w:rPr>
        <w:t xml:space="preserve">"From first lease to legacy."</w:t>
      </w:r>
    </w:p>
    <w:p>
      <w:pPr>
        <w:spacing w:after="240" w:before="240"/>
        <w:jc w:val="center"/>
      </w:pPr>
      <w:r>
        <w:rPr>
          <w:rFonts w:ascii="Cambria" w:cs="Cambria" w:eastAsia="Cambria" w:hAnsi="Cambria"/>
          <w:i/>
          <w:iCs/>
          <w:color w:val="0F1B2D"/>
          <w:sz w:val="28"/>
          <w:szCs w:val="28"/>
        </w:rPr>
        <w:t xml:space="preserve">"One team. Five stages. A relationship that compounds."</w:t>
      </w:r>
    </w:p>
    <w:p>
      <w:pPr>
        <w:spacing w:after="240" w:before="240"/>
        <w:jc w:val="center"/>
      </w:pPr>
      <w:r>
        <w:rPr>
          <w:rFonts w:ascii="Cambria" w:cs="Cambria" w:eastAsia="Cambria" w:hAnsi="Cambria"/>
          <w:i/>
          <w:iCs/>
          <w:color w:val="0F1B2D"/>
          <w:sz w:val="28"/>
          <w:szCs w:val="28"/>
        </w:rPr>
        <w:t xml:space="preserve">"The team that started your journey is still here at the finish line."</w:t>
      </w:r>
    </w:p>
    <w:p>
      <w:pPr>
        <w:spacing w:after="240" w:before="240"/>
        <w:jc w:val="center"/>
      </w:pPr>
      <w:r>
        <w:rPr>
          <w:rFonts w:ascii="Cambria" w:cs="Cambria" w:eastAsia="Cambria" w:hAnsi="Cambria"/>
          <w:i/>
          <w:iCs/>
          <w:color w:val="0F1B2D"/>
          <w:sz w:val="28"/>
          <w:szCs w:val="28"/>
        </w:rPr>
        <w:t xml:space="preserve">"We don’t sell houses. We build relationships that last thirty years."</w:t>
      </w:r>
    </w:p>
    <w:p>
      <w:pPr>
        <w:pBdr>
          <w:bottom w:val="single" w:color="C9A776" w:sz="6" w:space="1"/>
        </w:pBdr>
        <w:spacing w:after="240" w:before="240"/>
      </w:pPr>
      <w:r>
        <w:t xml:space="preserve"/>
      </w:r>
    </w:p>
    <w:p>
      <w:pPr>
        <w:pStyle w:val="Eyebrow"/>
      </w:pPr>
      <w:r>
        <w:rPr>
          <w:b/>
          <w:bCs/>
          <w:color w:val="C9A776"/>
        </w:rPr>
        <w:t xml:space="preserve">SECTION 6</w:t>
      </w:r>
    </w:p>
    <w:p>
      <w:pPr>
        <w:pStyle w:val="Heading1"/>
      </w:pPr>
      <w:r>
        <w:t xml:space="preserve">Visual Direction</w:t>
      </w:r>
    </w:p>
    <w:p>
      <w:pPr>
        <w:spacing w:after="160"/>
      </w:pPr>
      <w:r>
        <w:t xml:space="preserve">The PUR brand needs a visual refresh that telegraphs editorial seriousness rather than franchise-realtor energy. Our reference points are not Compass or Sotheby’s exactly — those are aspirational and slightly too polished for a Tooele neighbor brand. Our reference is closer to a hybrid of Sotheby’s editorial restraint and the textural warmth of a Patagonia or Levi’s — premium without being precious.</w:t>
      </w:r>
    </w:p>
    <w:p>
      <w:pPr>
        <w:pStyle w:val="Heading3"/>
      </w:pPr>
      <w: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rPr>
          <w:tblHeader/>
        </w:trPr>
        <w:tc>
          <w:tcPr>
            <w:tcW w:type="dxa" w:w="1560"/>
            <w:tcBorders>
              <w:top w:val="single" w:color="E5E0D2" w:sz="4"/>
              <w:left w:val="single" w:color="E5E0D2" w:sz="4"/>
              <w:bottom w:val="single" w:color="E5E0D2" w:sz="4"/>
              <w:right w:val="single" w:color="E5E0D2" w:sz="4"/>
            </w:tcBorders>
            <w:shd w:fill="0F1B2D" w:color="auto" w:val="clear"/>
            <w:tcMar>
              <w:top w:type="dxa" w:w="100"/>
              <w:left w:type="dxa" w:w="140"/>
              <w:bottom w:type="dxa" w:w="100"/>
              <w:right w:type="dxa" w:w="140"/>
            </w:tcMar>
          </w:tcPr>
          <w:p>
            <w:r>
              <w:rPr>
                <w:b/>
                <w:bCs/>
                <w:color w:val="FFFFFF"/>
                <w:sz w:val="20"/>
                <w:szCs w:val="20"/>
              </w:rPr>
              <w:t xml:space="preserve">Role</w:t>
            </w:r>
          </w:p>
        </w:tc>
        <w:tc>
          <w:tcPr>
            <w:tcW w:type="dxa" w:w="1560"/>
            <w:tcBorders>
              <w:top w:val="single" w:color="E5E0D2" w:sz="4"/>
              <w:left w:val="single" w:color="E5E0D2" w:sz="4"/>
              <w:bottom w:val="single" w:color="E5E0D2" w:sz="4"/>
              <w:right w:val="single" w:color="E5E0D2" w:sz="4"/>
            </w:tcBorders>
            <w:shd w:fill="0F1B2D" w:color="auto" w:val="clear"/>
            <w:tcMar>
              <w:top w:type="dxa" w:w="100"/>
              <w:left w:type="dxa" w:w="140"/>
              <w:bottom w:type="dxa" w:w="100"/>
              <w:right w:type="dxa" w:w="140"/>
            </w:tcMar>
          </w:tcPr>
          <w:p>
            <w:r>
              <w:rPr>
                <w:b/>
                <w:bCs/>
                <w:color w:val="FFFFFF"/>
                <w:sz w:val="20"/>
                <w:szCs w:val="20"/>
              </w:rPr>
              <w:t xml:space="preserve">Name</w:t>
            </w:r>
          </w:p>
        </w:tc>
        <w:tc>
          <w:tcPr>
            <w:tcW w:type="dxa" w:w="1560"/>
            <w:tcBorders>
              <w:top w:val="single" w:color="E5E0D2" w:sz="4"/>
              <w:left w:val="single" w:color="E5E0D2" w:sz="4"/>
              <w:bottom w:val="single" w:color="E5E0D2" w:sz="4"/>
              <w:right w:val="single" w:color="E5E0D2" w:sz="4"/>
            </w:tcBorders>
            <w:shd w:fill="0F1B2D" w:color="auto" w:val="clear"/>
            <w:tcMar>
              <w:top w:type="dxa" w:w="100"/>
              <w:left w:type="dxa" w:w="140"/>
              <w:bottom w:type="dxa" w:w="100"/>
              <w:right w:type="dxa" w:w="140"/>
            </w:tcMar>
          </w:tcPr>
          <w:p>
            <w:r>
              <w:rPr>
                <w:b/>
                <w:bCs/>
                <w:color w:val="FFFFFF"/>
                <w:sz w:val="20"/>
                <w:szCs w:val="20"/>
              </w:rPr>
              <w:t xml:space="preserve">Hex</w:t>
            </w:r>
          </w:p>
        </w:tc>
        <w:tc>
          <w:tcPr>
            <w:tcW w:type="dxa" w:w="4680"/>
            <w:tcBorders>
              <w:top w:val="single" w:color="E5E0D2" w:sz="4"/>
              <w:left w:val="single" w:color="E5E0D2" w:sz="4"/>
              <w:bottom w:val="single" w:color="E5E0D2" w:sz="4"/>
              <w:right w:val="single" w:color="E5E0D2" w:sz="4"/>
            </w:tcBorders>
            <w:shd w:fill="0F1B2D" w:color="auto" w:val="clear"/>
            <w:tcMar>
              <w:top w:type="dxa" w:w="100"/>
              <w:left w:type="dxa" w:w="140"/>
              <w:bottom w:type="dxa" w:w="100"/>
              <w:right w:type="dxa" w:w="140"/>
            </w:tcMar>
          </w:tcPr>
          <w:p>
            <w:r>
              <w:rPr>
                <w:b/>
                <w:bCs/>
                <w:color w:val="FFFFFF"/>
                <w:sz w:val="20"/>
                <w:szCs w:val="20"/>
              </w:rPr>
              <w:t xml:space="preserve">Usage</w:t>
            </w:r>
          </w:p>
        </w:tc>
      </w:tr>
      <w:tr>
        <w:tc>
          <w:tcPr>
            <w:tcW w:type="dxa" w:w="1560"/>
            <w:tcBorders>
              <w:top w:val="single" w:color="E5E0D2" w:sz="4"/>
              <w:left w:val="single" w:color="E5E0D2" w:sz="4"/>
              <w:bottom w:val="single" w:color="E5E0D2" w:sz="4"/>
              <w:right w:val="single" w:color="E5E0D2" w:sz="4"/>
            </w:tcBorders>
            <w:shd w:fill="F0EBE0" w:color="auto" w:val="clear"/>
            <w:tcMar>
              <w:top w:type="dxa" w:w="100"/>
              <w:left w:type="dxa" w:w="140"/>
              <w:bottom w:type="dxa" w:w="100"/>
              <w:right w:type="dxa" w:w="140"/>
            </w:tcMar>
          </w:tcPr>
          <w:p>
            <w:r>
              <w:rPr>
                <w:b/>
                <w:bCs/>
                <w:sz w:val="20"/>
                <w:szCs w:val="20"/>
              </w:rPr>
              <w:t xml:space="preserve">Primary</w:t>
            </w:r>
          </w:p>
        </w:tc>
        <w:tc>
          <w:tcPr>
            <w:tcW w:type="dxa" w:w="156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Midnight Navy</w:t>
            </w:r>
          </w:p>
        </w:tc>
        <w:tc>
          <w:tcPr>
            <w:tcW w:type="dxa" w:w="156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#0F1B2D</w:t>
            </w:r>
          </w:p>
        </w:tc>
        <w:tc>
          <w:tcPr>
            <w:tcW w:type="dxa" w:w="468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Headers, navigation, primary buttons, dark sections</w:t>
            </w:r>
          </w:p>
        </w:tc>
      </w:tr>
      <w:tr>
        <w:tc>
          <w:tcPr>
            <w:tcW w:type="dxa" w:w="1560"/>
            <w:tcBorders>
              <w:top w:val="single" w:color="E5E0D2" w:sz="4"/>
              <w:left w:val="single" w:color="E5E0D2" w:sz="4"/>
              <w:bottom w:val="single" w:color="E5E0D2" w:sz="4"/>
              <w:right w:val="single" w:color="E5E0D2" w:sz="4"/>
            </w:tcBorders>
            <w:shd w:fill="F0EBE0" w:color="auto" w:val="clear"/>
            <w:tcMar>
              <w:top w:type="dxa" w:w="100"/>
              <w:left w:type="dxa" w:w="140"/>
              <w:bottom w:type="dxa" w:w="100"/>
              <w:right w:type="dxa" w:w="140"/>
            </w:tcMar>
          </w:tcPr>
          <w:p>
            <w:r>
              <w:rPr>
                <w:b/>
                <w:bCs/>
                <w:sz w:val="20"/>
                <w:szCs w:val="20"/>
              </w:rPr>
              <w:t xml:space="preserve">Accent</w:t>
            </w:r>
          </w:p>
        </w:tc>
        <w:tc>
          <w:tcPr>
            <w:tcW w:type="dxa" w:w="156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Bonneville Sand</w:t>
            </w:r>
          </w:p>
        </w:tc>
        <w:tc>
          <w:tcPr>
            <w:tcW w:type="dxa" w:w="156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#C9A776</w:t>
            </w:r>
          </w:p>
        </w:tc>
        <w:tc>
          <w:tcPr>
            <w:tcW w:type="dxa" w:w="468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CTAs, highlights, eyebrows, the lifecycle thread</w:t>
            </w:r>
          </w:p>
        </w:tc>
      </w:tr>
      <w:tr>
        <w:tc>
          <w:tcPr>
            <w:tcW w:type="dxa" w:w="1560"/>
            <w:tcBorders>
              <w:top w:val="single" w:color="E5E0D2" w:sz="4"/>
              <w:left w:val="single" w:color="E5E0D2" w:sz="4"/>
              <w:bottom w:val="single" w:color="E5E0D2" w:sz="4"/>
              <w:right w:val="single" w:color="E5E0D2" w:sz="4"/>
            </w:tcBorders>
            <w:shd w:fill="F0EBE0" w:color="auto" w:val="clear"/>
            <w:tcMar>
              <w:top w:type="dxa" w:w="100"/>
              <w:left w:type="dxa" w:w="140"/>
              <w:bottom w:type="dxa" w:w="100"/>
              <w:right w:type="dxa" w:w="140"/>
            </w:tcMar>
          </w:tcPr>
          <w:p>
            <w:r>
              <w:rPr>
                <w:b/>
                <w:bCs/>
                <w:sz w:val="20"/>
                <w:szCs w:val="20"/>
              </w:rPr>
              <w:t xml:space="preserve">Light bg</w:t>
            </w:r>
          </w:p>
        </w:tc>
        <w:tc>
          <w:tcPr>
            <w:tcW w:type="dxa" w:w="156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Bone</w:t>
            </w:r>
          </w:p>
        </w:tc>
        <w:tc>
          <w:tcPr>
            <w:tcW w:type="dxa" w:w="156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#FAF7F1</w:t>
            </w:r>
          </w:p>
        </w:tc>
        <w:tc>
          <w:tcPr>
            <w:tcW w:type="dxa" w:w="468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Alternate section backgrounds, document body</w:t>
            </w:r>
          </w:p>
        </w:tc>
      </w:tr>
      <w:tr>
        <w:tc>
          <w:tcPr>
            <w:tcW w:type="dxa" w:w="1560"/>
            <w:tcBorders>
              <w:top w:val="single" w:color="E5E0D2" w:sz="4"/>
              <w:left w:val="single" w:color="E5E0D2" w:sz="4"/>
              <w:bottom w:val="single" w:color="E5E0D2" w:sz="4"/>
              <w:right w:val="single" w:color="E5E0D2" w:sz="4"/>
            </w:tcBorders>
            <w:shd w:fill="F0EBE0" w:color="auto" w:val="clear"/>
            <w:tcMar>
              <w:top w:type="dxa" w:w="100"/>
              <w:left w:type="dxa" w:w="140"/>
              <w:bottom w:type="dxa" w:w="100"/>
              <w:right w:type="dxa" w:w="140"/>
            </w:tcMar>
          </w:tcPr>
          <w:p>
            <w:r>
              <w:rPr>
                <w:b/>
                <w:bCs/>
                <w:sz w:val="20"/>
                <w:szCs w:val="20"/>
              </w:rPr>
              <w:t xml:space="preserve">Ink</w:t>
            </w:r>
          </w:p>
        </w:tc>
        <w:tc>
          <w:tcPr>
            <w:tcW w:type="dxa" w:w="156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Slate Ink</w:t>
            </w:r>
          </w:p>
        </w:tc>
        <w:tc>
          <w:tcPr>
            <w:tcW w:type="dxa" w:w="156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#1E2733</w:t>
            </w:r>
          </w:p>
        </w:tc>
        <w:tc>
          <w:tcPr>
            <w:tcW w:type="dxa" w:w="468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Body copy, primary text</w:t>
            </w:r>
          </w:p>
        </w:tc>
      </w:tr>
      <w:tr>
        <w:tc>
          <w:tcPr>
            <w:tcW w:type="dxa" w:w="1560"/>
            <w:tcBorders>
              <w:top w:val="single" w:color="E5E0D2" w:sz="4"/>
              <w:left w:val="single" w:color="E5E0D2" w:sz="4"/>
              <w:bottom w:val="single" w:color="E5E0D2" w:sz="4"/>
              <w:right w:val="single" w:color="E5E0D2" w:sz="4"/>
            </w:tcBorders>
            <w:shd w:fill="F0EBE0" w:color="auto" w:val="clear"/>
            <w:tcMar>
              <w:top w:type="dxa" w:w="100"/>
              <w:left w:type="dxa" w:w="140"/>
              <w:bottom w:type="dxa" w:w="100"/>
              <w:right w:type="dxa" w:w="140"/>
            </w:tcMar>
          </w:tcPr>
          <w:p>
            <w:r>
              <w:rPr>
                <w:b/>
                <w:bCs/>
                <w:sz w:val="20"/>
                <w:szCs w:val="20"/>
              </w:rPr>
              <w:t xml:space="preserve">Muted</w:t>
            </w:r>
          </w:p>
        </w:tc>
        <w:tc>
          <w:tcPr>
            <w:tcW w:type="dxa" w:w="156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Stone</w:t>
            </w:r>
          </w:p>
        </w:tc>
        <w:tc>
          <w:tcPr>
            <w:tcW w:type="dxa" w:w="156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#5C6776</w:t>
            </w:r>
          </w:p>
        </w:tc>
        <w:tc>
          <w:tcPr>
            <w:tcW w:type="dxa" w:w="4680"/>
            <w:tcBorders>
              <w:top w:val="single" w:color="E5E0D2" w:sz="4"/>
              <w:left w:val="single" w:color="E5E0D2" w:sz="4"/>
              <w:bottom w:val="single" w:color="E5E0D2" w:sz="4"/>
              <w:right w:val="single" w:color="E5E0D2" w:sz="4"/>
            </w:tcBorders>
            <w:tcMar>
              <w:top w:type="dxa" w:w="100"/>
              <w:left w:type="dxa" w:w="140"/>
              <w:bottom w:type="dxa" w:w="100"/>
              <w:right w:type="dxa" w:w="140"/>
            </w:tcMar>
          </w:tcPr>
          <w:p>
            <w:r>
              <w:rPr>
                <w:sz w:val="20"/>
                <w:szCs w:val="20"/>
              </w:rPr>
              <w:t xml:space="preserve">Secondary text, captions, meta</w:t>
            </w:r>
          </w:p>
        </w:tc>
      </w:tr>
    </w:tbl>
    <w:p>
      <w:pPr>
        <w:pStyle w:val="Heading3"/>
      </w:pPr>
      <w:r>
        <w:t xml:space="preserve">Typography</w:t>
      </w:r>
    </w:p>
    <w:p>
      <w:pPr>
        <w:pStyle w:val="ListParagraph"/>
        <w:numPr>
          <w:ilvl w:val="0"/>
          <w:numId w:val="2"/>
        </w:numPr>
        <w:spacing w:after="100"/>
      </w:pPr>
      <w:r>
        <w:t xml:space="preserve">Display &amp; headlines — Cormorant Garamond (serif, editorial). Used in italic for emphasized phrases (e.g., "every stage"). Reinforces the 30-year heritage without feeling old.</w:t>
      </w:r>
    </w:p>
    <w:p>
      <w:pPr>
        <w:pStyle w:val="ListParagraph"/>
        <w:numPr>
          <w:ilvl w:val="0"/>
          <w:numId w:val="2"/>
        </w:numPr>
        <w:spacing w:after="100"/>
      </w:pPr>
      <w:r>
        <w:t xml:space="preserve">UI &amp; body — Inter (sans-serif, clean). 16px base for body, 14px for UI labels, 12px for eyebrow text in all caps with wide letter-spacing.</w:t>
      </w:r>
    </w:p>
    <w:p>
      <w:pPr>
        <w:pStyle w:val="ListParagraph"/>
        <w:numPr>
          <w:ilvl w:val="0"/>
          <w:numId w:val="2"/>
        </w:numPr>
        <w:spacing w:after="100"/>
      </w:pPr>
      <w:r>
        <w:t xml:space="preserve">Print &amp; document — Cambria for headlines, Calibri for body. Maintains the editorial-meets-clean pairing across digital and print.</w:t>
      </w:r>
    </w:p>
    <w:p>
      <w:pPr>
        <w:pStyle w:val="Heading3"/>
      </w:pPr>
      <w:r>
        <w:t xml:space="preserve">Photography direction</w:t>
      </w:r>
    </w:p>
    <w:p>
      <w:pPr>
        <w:pStyle w:val="ListParagraph"/>
        <w:numPr>
          <w:ilvl w:val="0"/>
          <w:numId w:val="2"/>
        </w:numPr>
        <w:spacing w:after="100"/>
      </w:pPr>
      <w:r>
        <w:t xml:space="preserve">Tooele-specific landscapes. The Oquirrh Mountains, the Stansbury marina, the Bonneville Salt Flats edge. These are our textures — not generic suburb stock.</w:t>
      </w:r>
    </w:p>
    <w:p>
      <w:pPr>
        <w:pStyle w:val="ListParagraph"/>
        <w:numPr>
          <w:ilvl w:val="0"/>
          <w:numId w:val="2"/>
        </w:numPr>
        <w:spacing w:after="100"/>
      </w:pPr>
      <w:r>
        <w:t xml:space="preserve">Real agents, real homes, real clients. No stock business handshakes. Hire one photographer to shoot the team plus 12 neighborhood scene-setters and 30 listing exteriors over a single 4-day shoot.</w:t>
      </w:r>
    </w:p>
    <w:p>
      <w:pPr>
        <w:pStyle w:val="ListParagraph"/>
        <w:numPr>
          <w:ilvl w:val="0"/>
          <w:numId w:val="2"/>
        </w:numPr>
        <w:spacing w:after="100"/>
      </w:pPr>
      <w:r>
        <w:t xml:space="preserve">Twilight and golden-hour exteriors as standard for premium listings. HDR with a slightly de-saturated edit — closer to architectural photography than realtor brochure.</w:t>
      </w:r>
    </w:p>
    <w:p>
      <w:pPr>
        <w:pStyle w:val="ListParagraph"/>
        <w:numPr>
          <w:ilvl w:val="0"/>
          <w:numId w:val="2"/>
        </w:numPr>
        <w:spacing w:after="100"/>
      </w:pPr>
      <w:r>
        <w:t xml:space="preserve">Editorial composition over real-estate-grid composition. Wide shots, negative space, occasional human element (a person walking, a dog in the yard) to add life.</w:t>
      </w:r>
    </w:p>
    <w:p>
      <w:pPr>
        <w:pStyle w:val="Heading3"/>
      </w:pPr>
      <w:r>
        <w:t xml:space="preserve">Logo treatment</w:t>
      </w:r>
    </w:p>
    <w:p>
      <w:pPr>
        <w:spacing w:after="160"/>
      </w:pPr>
      <w:r>
        <w:t xml:space="preserve">The current PUR logo (refreshed in 2024) can be retained as a wordmark but should be re-spaced and paired with a small italic descriptor: "Tooele · Est. 1995." The dot-separator format references the editorial typography world and adds heritage and place in one line. We do not recommend changing the logo itself in Year 1 — preserve the brand equity. Refresh the typographic system around it instead.</w:t>
      </w:r>
    </w:p>
    <w:p>
      <w:pPr>
        <w:pBdr>
          <w:bottom w:val="single" w:color="C9A776" w:sz="6" w:space="1"/>
        </w:pBdr>
        <w:spacing w:after="240" w:before="240"/>
      </w:pPr>
      <w:r>
        <w:t xml:space="preserve"/>
      </w:r>
    </w:p>
    <w:p>
      <w:pPr>
        <w:pStyle w:val="Eyebrow"/>
      </w:pPr>
      <w:r>
        <w:rPr>
          <w:b/>
          <w:bCs/>
          <w:color w:val="C9A776"/>
        </w:rPr>
        <w:t xml:space="preserve">SECTION 7</w:t>
      </w:r>
    </w:p>
    <w:p>
      <w:pPr>
        <w:pStyle w:val="Heading1"/>
      </w:pPr>
      <w:r>
        <w:t xml:space="preserve">Brand Promises</w:t>
      </w:r>
    </w:p>
    <w:p>
      <w:pPr>
        <w:spacing w:after="160"/>
      </w:pPr>
      <w:r>
        <w:t xml:space="preserve">Five explicit commitments that show up everywhere — site, email, agent scripts, listing presentations:</w:t>
      </w:r>
    </w:p>
    <w:p>
      <w:pPr>
        <w:pStyle w:val="ListParagraph"/>
        <w:numPr>
          <w:ilvl w:val="0"/>
          <w:numId w:val="3"/>
        </w:numPr>
        <w:spacing w:after="100"/>
      </w:pPr>
      <w:r>
        <w:t xml:space="preserve">You will always work with the same primary agent across every transaction in your Lifecycle Account, unless you ask to change.</w:t>
      </w:r>
    </w:p>
    <w:p>
      <w:pPr>
        <w:pStyle w:val="ListParagraph"/>
        <w:numPr>
          <w:ilvl w:val="0"/>
          <w:numId w:val="3"/>
        </w:numPr>
        <w:spacing w:after="100"/>
      </w:pPr>
      <w:r>
        <w:t xml:space="preserve">Every listing we represent gets professional photography, a property video, and a custom marketing plan — no exceptions, no upcharges.</w:t>
      </w:r>
    </w:p>
    <w:p>
      <w:pPr>
        <w:pStyle w:val="ListParagraph"/>
        <w:numPr>
          <w:ilvl w:val="0"/>
          <w:numId w:val="3"/>
        </w:numPr>
        <w:spacing w:after="100"/>
      </w:pPr>
      <w:r>
        <w:t xml:space="preserve">Every rental we manage gets a documented owner statement every month, with no surprise fees or after-hours phone calls to the owner.</w:t>
      </w:r>
    </w:p>
    <w:p>
      <w:pPr>
        <w:pStyle w:val="ListParagraph"/>
        <w:numPr>
          <w:ilvl w:val="0"/>
          <w:numId w:val="3"/>
        </w:numPr>
        <w:spacing w:after="100"/>
      </w:pPr>
      <w:r>
        <w:t xml:space="preserve">We will publish a Tooele County market report every month, free, with no email gate to read the headline numbers.</w:t>
      </w:r>
    </w:p>
    <w:p>
      <w:pPr>
        <w:pStyle w:val="ListParagraph"/>
        <w:numPr>
          <w:ilvl w:val="0"/>
          <w:numId w:val="3"/>
        </w:numPr>
        <w:spacing w:after="100"/>
      </w:pPr>
      <w:r>
        <w:t xml:space="preserve">If we cannot serve you well, we will refer you to the best person who can — including a competitor — and we will tell you why.</w:t>
      </w:r>
    </w:p>
    <w:p>
      <w:pPr>
        <w:pBdr>
          <w:bottom w:val="single" w:color="C9A776" w:sz="6" w:space="1"/>
        </w:pBdr>
        <w:spacing w:after="240" w:before="240"/>
      </w:pPr>
      <w:r>
        <w:t xml:space="preserve"/>
      </w:r>
    </w:p>
    <w:p>
      <w:pPr>
        <w:pStyle w:val="Eyebrow"/>
      </w:pPr>
      <w:r>
        <w:rPr>
          <w:b/>
          <w:bCs/>
          <w:color w:val="C9A776"/>
        </w:rPr>
        <w:t xml:space="preserve">SECTION 8</w:t>
      </w:r>
    </w:p>
    <w:p>
      <w:pPr>
        <w:pStyle w:val="Heading1"/>
      </w:pPr>
      <w:r>
        <w:t xml:space="preserve">Principles for Phase 2 (SLC / Wasatch Front)</w:t>
      </w:r>
    </w:p>
    <w:p>
      <w:pPr>
        <w:spacing w:after="160"/>
      </w:pPr>
      <w:r>
        <w:t xml:space="preserve">Around Month 15 of the marketing plan, Premier opens a measured expansion into Salt Lake / Wasatch Front. The principles below protect the Tooele brand equity while creating real growth.</w:t>
      </w:r>
    </w:p>
    <w:p>
      <w:pPr>
        <w:pStyle w:val="ListParagraph"/>
        <w:numPr>
          <w:ilvl w:val="0"/>
          <w:numId w:val="2"/>
        </w:numPr>
        <w:spacing w:after="100"/>
      </w:pPr>
      <w:r>
        <w:t xml:space="preserve">Expand the geography, not the identity. We are still the Tooele-origin brand. The Wasatch Front story is "Tooele expertise, Wasatch reach" — not "we’re a Salt Lake firm now."</w:t>
      </w:r>
    </w:p>
    <w:p>
      <w:pPr>
        <w:pStyle w:val="ListParagraph"/>
        <w:numPr>
          <w:ilvl w:val="0"/>
          <w:numId w:val="2"/>
        </w:numPr>
        <w:spacing w:after="100"/>
      </w:pPr>
      <w:r>
        <w:t xml:space="preserve">Lead with the lifecycle story, not the listings. Compass and dozens of Wasatch Front brokerages already do listings. We win on the rent-to-own-to-build-to-invest narrative no one else can copy.</w:t>
      </w:r>
    </w:p>
    <w:p>
      <w:pPr>
        <w:pStyle w:val="ListParagraph"/>
        <w:numPr>
          <w:ilvl w:val="0"/>
          <w:numId w:val="2"/>
        </w:numPr>
        <w:spacing w:after="100"/>
      </w:pPr>
      <w:r>
        <w:t xml:space="preserve">Recruit agents already living in the target Wasatch sub-markets (Magna, West Jordan, South Jordan, Herriman, Daybreak). They become embedded sub-brands under the Premier umbrella.</w:t>
      </w:r>
    </w:p>
    <w:p>
      <w:pPr>
        <w:pStyle w:val="ListParagraph"/>
        <w:numPr>
          <w:ilvl w:val="0"/>
          <w:numId w:val="2"/>
        </w:numPr>
        <w:spacing w:after="100"/>
      </w:pPr>
      <w:r>
        <w:t xml:space="preserve">Do not open a Salt Lake storefront. Keep operations centralized in Tooele. Use a virtual SLC presence + agent-driven local trust. Real estate is built on people, not buildings.</w:t>
      </w:r>
    </w:p>
    <w:p>
      <w:pPr>
        <w:pStyle w:val="ListParagraph"/>
        <w:numPr>
          <w:ilvl w:val="0"/>
          <w:numId w:val="2"/>
        </w:numPr>
        <w:spacing w:after="100"/>
      </w:pPr>
      <w:r>
        <w:t xml:space="preserve">Re-evaluate at Month 21. If Phase 2 CPL stays above 1.5x the Tooele baseline by Month 21, pause the expansion and reinvest in Tooele depth.</w:t>
      </w:r>
    </w:p>
    <w:p>
      <w:pPr>
        <w:pBdr>
          <w:bottom w:val="single" w:color="C9A776" w:sz="6" w:space="1"/>
        </w:pBdr>
        <w:spacing w:after="240" w:before="240"/>
      </w:pPr>
      <w:r>
        <w:t xml:space="preserve"/>
      </w:r>
    </w:p>
    <w:p>
      <w:pPr>
        <w:pStyle w:val="Eyebrow"/>
      </w:pPr>
      <w:r>
        <w:rPr>
          <w:b/>
          <w:bCs/>
          <w:color w:val="C9A776"/>
        </w:rPr>
        <w:t xml:space="preserve">CLOSING</w:t>
      </w:r>
    </w:p>
    <w:p>
      <w:pPr>
        <w:pStyle w:val="Heading1"/>
      </w:pPr>
      <w:r>
        <w:t xml:space="preserve">What we are not</w:t>
      </w:r>
    </w:p>
    <w:p>
      <w:pPr>
        <w:spacing w:after="160"/>
      </w:pPr>
      <w:r>
        <w:t xml:space="preserve">A few things this brand will explicitly avoid, so that every member of the team can decline opportunities that pull us off-brand:</w:t>
      </w:r>
    </w:p>
    <w:p>
      <w:pPr>
        <w:pStyle w:val="ListParagraph"/>
        <w:numPr>
          <w:ilvl w:val="0"/>
          <w:numId w:val="2"/>
        </w:numPr>
        <w:spacing w:after="100"/>
      </w:pPr>
      <w:r>
        <w:t xml:space="preserve">We are not a luxury brokerage. We will sell luxury Tooele homes when they come, but luxury is not our positioning.</w:t>
      </w:r>
    </w:p>
    <w:p>
      <w:pPr>
        <w:pStyle w:val="ListParagraph"/>
        <w:numPr>
          <w:ilvl w:val="0"/>
          <w:numId w:val="2"/>
        </w:numPr>
        <w:spacing w:after="100"/>
      </w:pPr>
      <w:r>
        <w:t xml:space="preserve">We are not a discount or low-commission brokerage. The lifecycle story does not work at a discount fee structure — the relationship is the product.</w:t>
      </w:r>
    </w:p>
    <w:p>
      <w:pPr>
        <w:pStyle w:val="ListParagraph"/>
        <w:numPr>
          <w:ilvl w:val="0"/>
          <w:numId w:val="2"/>
        </w:numPr>
        <w:spacing w:after="100"/>
      </w:pPr>
      <w:r>
        <w:t xml:space="preserve">We are not a tech company. Our website should be best-in-class for our market, but our brand is human relationships, not algorithms.</w:t>
      </w:r>
    </w:p>
    <w:p>
      <w:pPr>
        <w:pStyle w:val="ListParagraph"/>
        <w:numPr>
          <w:ilvl w:val="0"/>
          <w:numId w:val="2"/>
        </w:numPr>
        <w:spacing w:after="100"/>
      </w:pPr>
      <w:r>
        <w:t xml:space="preserve">We are not "the biggest." We are the longest, the deepest, and the most complete.</w:t>
      </w:r>
    </w:p>
    <w:p>
      <w:pPr>
        <w:spacing w:after="240" w:before="240"/>
        <w:jc w:val="center"/>
      </w:pPr>
      <w:r>
        <w:rPr>
          <w:rFonts w:ascii="Cambria" w:cs="Cambria" w:eastAsia="Cambria" w:hAnsi="Cambria"/>
          <w:i/>
          <w:iCs/>
          <w:color w:val="0F1B2D"/>
          <w:sz w:val="28"/>
          <w:szCs w:val="28"/>
        </w:rPr>
        <w:t xml:space="preserve">"Big is loud. Long is loyal. We are long."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776"/>
        <w:sz w:val="16"/>
        <w:szCs w:val="16"/>
      </w:rPr>
      <w:t xml:space="preserve">Premier Utah Real Estate · Brand Positioning · </w:t>
    </w:r>
    <w:r>
      <w:rPr>
        <w:color w:val="5C6776"/>
        <w:sz w:val="16"/>
        <w:szCs w:val="16"/>
      </w:rPr>
      <w:t xml:space="preserve">Page </w:t>
    </w:r>
    <w:r>
      <w:rPr>
        <w:color w:val="5C67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0F1B2D"/>
      <w:sz w:val="48"/>
      <w:szCs w:val="48"/>
    </w:rPr>
  </w:style>
  <w:style w:type="paragraph" w:styleId="Heading2">
    <w:name w:val="Heading 2"/>
    <w:basedOn w:val="Normal"/>
    <w:next w:val="Normal"/>
    <w:qFormat/>
    <w:pPr>
      <w:spacing w:after="180" w:before="360"/>
      <w:outlineLvl w:val="1"/>
    </w:pPr>
    <w:rPr>
      <w:rFonts w:ascii="Calibri" w:cs="Calibri" w:eastAsia="Calibri" w:hAnsi="Calibri"/>
      <w:b/>
      <w:bCs/>
      <w:color w:val="0F1B2D"/>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1E2733"/>
      <w:sz w:val="26"/>
      <w:szCs w:val="26"/>
    </w:rPr>
  </w:style>
  <w:style w:type="paragraph" w:styleId="Eyebrow">
    <w:name w:val="Eyebrow"/>
    <w:basedOn w:val="Normal"/>
    <w:next w:val="Normal"/>
    <w:pPr>
      <w:spacing w:after="80" w:before="160"/>
    </w:pPr>
    <w:rPr>
      <w:rFonts w:ascii="Calibri" w:cs="Calibri" w:eastAsia="Calibri" w:hAnsi="Calibri"/>
      <w:b/>
      <w:bCs/>
      <w:color w:val="C9A776"/>
      <w:spacing w:val="5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2026-05-25T04:08:23.296Z</dcterms:created>
  <dcterms:modified xsi:type="dcterms:W3CDTF">2026-05-25T04:08:23.296Z</dcterms:modified>
</cp:coreProperties>
</file>

<file path=docProps/custom.xml><?xml version="1.0" encoding="utf-8"?>
<Properties xmlns="http://schemas.openxmlformats.org/officeDocument/2006/custom-properties" xmlns:vt="http://schemas.openxmlformats.org/officeDocument/2006/docPropsVTypes"/>
</file>