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35" w:rsidRDefault="000B6BAE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233635" w:rsidRDefault="000B6BAE">
      <w:pPr>
        <w:pStyle w:val="1"/>
      </w:pPr>
      <w:r>
        <w:rPr>
          <w:rFonts w:hint="eastAsia"/>
        </w:rPr>
        <w:t>问题描述</w:t>
      </w:r>
    </w:p>
    <w:p w:rsidR="000B6BAE" w:rsidRPr="000B6BAE" w:rsidRDefault="000B6BAE" w:rsidP="000B6BAE">
      <w:pPr>
        <w:rPr>
          <w:rFonts w:hint="eastAsia"/>
          <w:sz w:val="28"/>
          <w:szCs w:val="28"/>
        </w:rPr>
      </w:pPr>
      <w:r w:rsidRPr="000B6BAE">
        <w:rPr>
          <w:rFonts w:hint="eastAsia"/>
          <w:sz w:val="28"/>
          <w:szCs w:val="28"/>
        </w:rPr>
        <w:t>某市大量在校大学生（至少</w:t>
      </w:r>
      <w:r w:rsidRPr="000B6BAE">
        <w:rPr>
          <w:rFonts w:hint="eastAsia"/>
          <w:sz w:val="28"/>
          <w:szCs w:val="28"/>
        </w:rPr>
        <w:t>10</w:t>
      </w:r>
      <w:r w:rsidRPr="000B6BAE">
        <w:rPr>
          <w:rFonts w:hint="eastAsia"/>
          <w:sz w:val="28"/>
          <w:szCs w:val="28"/>
        </w:rPr>
        <w:t>万以上）每天可能有各种各样的需要，比如没时间拿快递、需要求职等。以往的时候都是通过</w:t>
      </w:r>
      <w:r w:rsidRPr="000B6BAE">
        <w:rPr>
          <w:rFonts w:hint="eastAsia"/>
          <w:sz w:val="28"/>
          <w:szCs w:val="28"/>
        </w:rPr>
        <w:t>QQ</w:t>
      </w:r>
      <w:r w:rsidRPr="000B6BAE">
        <w:rPr>
          <w:rFonts w:hint="eastAsia"/>
          <w:sz w:val="28"/>
          <w:szCs w:val="28"/>
        </w:rPr>
        <w:t>群来发布求助信息，存在主要的问题包括：</w:t>
      </w:r>
    </w:p>
    <w:p w:rsidR="000B6BAE" w:rsidRPr="000B6BAE" w:rsidRDefault="000B6BAE" w:rsidP="000B6B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0B6BAE">
        <w:rPr>
          <w:rFonts w:hint="eastAsia"/>
          <w:sz w:val="28"/>
          <w:szCs w:val="28"/>
        </w:rPr>
        <w:t>时间不同步，可能提供帮助的人看到的时候任务已经结束</w:t>
      </w:r>
    </w:p>
    <w:p w:rsidR="000B6BAE" w:rsidRPr="000B6BAE" w:rsidRDefault="000B6BAE" w:rsidP="000B6B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0B6BAE">
        <w:rPr>
          <w:rFonts w:hint="eastAsia"/>
          <w:sz w:val="28"/>
          <w:szCs w:val="28"/>
        </w:rPr>
        <w:t>使用</w:t>
      </w:r>
      <w:r w:rsidRPr="000B6BAE">
        <w:rPr>
          <w:rFonts w:hint="eastAsia"/>
          <w:sz w:val="28"/>
          <w:szCs w:val="28"/>
        </w:rPr>
        <w:t>QQ</w:t>
      </w:r>
      <w:r w:rsidRPr="000B6BAE">
        <w:rPr>
          <w:rFonts w:hint="eastAsia"/>
          <w:sz w:val="28"/>
          <w:szCs w:val="28"/>
        </w:rPr>
        <w:t>的人在逐渐减少</w:t>
      </w:r>
    </w:p>
    <w:p w:rsidR="000B6BAE" w:rsidRPr="000B6BAE" w:rsidRDefault="000B6BAE" w:rsidP="000B6B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0B6BAE">
        <w:rPr>
          <w:rFonts w:hint="eastAsia"/>
          <w:sz w:val="28"/>
          <w:szCs w:val="28"/>
        </w:rPr>
        <w:t>金钱交易不安全</w:t>
      </w:r>
    </w:p>
    <w:p w:rsidR="00233635" w:rsidRDefault="00233635"/>
    <w:p w:rsidR="00233635" w:rsidRDefault="00233635"/>
    <w:p w:rsidR="00233635" w:rsidRDefault="000B6BAE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0B6BAE" w:rsidRDefault="000B6BAE" w:rsidP="000B6B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为在校大学生提供享受便利、贴心、实惠的互助平台，使宝贵的大学生活变得更加多采、时尚；</w:t>
      </w:r>
    </w:p>
    <w:p w:rsidR="000B6BAE" w:rsidRDefault="000B6BAE" w:rsidP="000B6B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B6BAE" w:rsidRDefault="000B6BAE" w:rsidP="000B6BA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用户群主要定位于某市大学、职技等学校在校生，服务群体基数大；</w:t>
      </w:r>
    </w:p>
    <w:p w:rsidR="000B6BAE" w:rsidRDefault="000B6BAE" w:rsidP="000B6BA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利用安全支付模式，使金钱交易更加安全</w:t>
      </w:r>
    </w:p>
    <w:p w:rsidR="000B6BAE" w:rsidRPr="00410F9D" w:rsidRDefault="000B6BAE" w:rsidP="000B6BA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利用地域优势，提供帮助的人和求助者基本来自于同一地区</w:t>
      </w:r>
    </w:p>
    <w:p w:rsidR="000B6BAE" w:rsidRDefault="000B6BAE" w:rsidP="000B6B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B6BAE" w:rsidRDefault="000B6BAE" w:rsidP="000B6BA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</w:p>
    <w:p w:rsidR="00233635" w:rsidRPr="000B6BAE" w:rsidRDefault="000B6BAE" w:rsidP="000B6BAE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求助者确认任务完成之前付款存于银行中利于利息来得到利润</w:t>
      </w:r>
    </w:p>
    <w:p w:rsidR="00233635" w:rsidRDefault="00233635"/>
    <w:p w:rsidR="00233635" w:rsidRDefault="00233635"/>
    <w:p w:rsidR="00233635" w:rsidRDefault="000B6BAE">
      <w:pPr>
        <w:pStyle w:val="1"/>
      </w:pPr>
      <w:r>
        <w:rPr>
          <w:rFonts w:hint="eastAsia"/>
        </w:rPr>
        <w:t>用户分析</w:t>
      </w:r>
    </w:p>
    <w:p w:rsidR="000B6BAE" w:rsidRDefault="000B6BAE" w:rsidP="000B6B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本电子商务网站主要服务一类用户：</w:t>
      </w:r>
    </w:p>
    <w:p w:rsidR="000B6BAE" w:rsidRDefault="000B6BAE" w:rsidP="000B6BA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0B6BAE" w:rsidRDefault="000B6BAE" w:rsidP="000B6B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愿望：得到放心的帮忙者服务，越便捷省力越好；</w:t>
      </w:r>
    </w:p>
    <w:p w:rsidR="000B6BAE" w:rsidRPr="009C5473" w:rsidRDefault="000B6BAE" w:rsidP="000B6B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消费观念：安全放心，最好能比自己完成更出色</w:t>
      </w:r>
      <w:r w:rsidRPr="009C5473">
        <w:rPr>
          <w:rFonts w:hint="eastAsia"/>
          <w:sz w:val="28"/>
          <w:szCs w:val="28"/>
        </w:rPr>
        <w:t>；</w:t>
      </w:r>
      <w:r w:rsidRPr="009C5473">
        <w:rPr>
          <w:rFonts w:hint="eastAsia"/>
          <w:sz w:val="28"/>
          <w:szCs w:val="28"/>
        </w:rPr>
        <w:t xml:space="preserve"> </w:t>
      </w:r>
    </w:p>
    <w:p w:rsidR="000B6BAE" w:rsidRDefault="000B6BAE" w:rsidP="000B6B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经济能力：在自己时间不允许的情况下寻求他人帮助，付相应报酬，对于大学生来说不是很难；</w:t>
      </w:r>
    </w:p>
    <w:p w:rsidR="000B6BAE" w:rsidRDefault="000B6BAE" w:rsidP="000B6B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计算机能力：熟练上网，笔记本电脑和宿舍上网以及智能手机的普及度也相当高；</w:t>
      </w:r>
    </w:p>
    <w:p w:rsidR="00233635" w:rsidRDefault="0023363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</w:p>
    <w:p w:rsidR="00233635" w:rsidRDefault="00233635"/>
    <w:p w:rsidR="00233635" w:rsidRDefault="00233635"/>
    <w:p w:rsidR="00233635" w:rsidRDefault="000B6BAE">
      <w:pPr>
        <w:pStyle w:val="1"/>
      </w:pPr>
      <w:r>
        <w:rPr>
          <w:rFonts w:hint="eastAsia"/>
        </w:rPr>
        <w:t>技术分析</w:t>
      </w:r>
    </w:p>
    <w:p w:rsidR="000B6BAE" w:rsidRDefault="000B6BAE" w:rsidP="000B6BAE">
      <w:pPr>
        <w:pStyle w:val="a3"/>
      </w:pPr>
      <w:r>
        <w:rPr>
          <w:rFonts w:hint="eastAsia"/>
        </w:rPr>
        <w:t>采用的技术架构</w:t>
      </w:r>
    </w:p>
    <w:p w:rsidR="000B6BAE" w:rsidRPr="00187FD7" w:rsidRDefault="000B6BAE" w:rsidP="000B6BA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>WEB</w:t>
      </w:r>
      <w:proofErr w:type="spellEnd"/>
      <w:r>
        <w:rPr>
          <w:rFonts w:hint="eastAsia"/>
          <w:sz w:val="28"/>
          <w:szCs w:val="28"/>
        </w:rPr>
        <w:t>体系以及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框架、</w:t>
      </w:r>
      <w:proofErr w:type="spellStart"/>
      <w:r>
        <w:rPr>
          <w:rFonts w:hint="eastAsia"/>
          <w:sz w:val="28"/>
          <w:szCs w:val="28"/>
        </w:rPr>
        <w:t>springmvc</w:t>
      </w:r>
      <w:proofErr w:type="spellEnd"/>
      <w:r>
        <w:rPr>
          <w:rFonts w:hint="eastAsia"/>
          <w:sz w:val="28"/>
          <w:szCs w:val="28"/>
        </w:rPr>
        <w:t>思想，可免费快速完成开发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0B6BAE" w:rsidRDefault="000B6BAE" w:rsidP="000B6BAE">
      <w:pPr>
        <w:pStyle w:val="a3"/>
      </w:pPr>
      <w:r>
        <w:rPr>
          <w:rFonts w:hint="eastAsia"/>
        </w:rPr>
        <w:lastRenderedPageBreak/>
        <w:t>平台</w:t>
      </w:r>
    </w:p>
    <w:p w:rsidR="000B6BAE" w:rsidRPr="00187FD7" w:rsidRDefault="000B6BAE" w:rsidP="000B6BA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0B6BAE" w:rsidRDefault="000B6BAE" w:rsidP="000B6BAE">
      <w:pPr>
        <w:pStyle w:val="a3"/>
      </w:pPr>
      <w:r>
        <w:rPr>
          <w:rFonts w:hint="eastAsia"/>
        </w:rPr>
        <w:t>软硬件、网络支持</w:t>
      </w:r>
    </w:p>
    <w:p w:rsidR="000B6BAE" w:rsidRPr="00187FD7" w:rsidRDefault="000B6BAE" w:rsidP="000B6BA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0B6BAE" w:rsidRDefault="000B6BAE" w:rsidP="000B6BAE">
      <w:pPr>
        <w:pStyle w:val="a3"/>
      </w:pPr>
      <w:r>
        <w:rPr>
          <w:rFonts w:hint="eastAsia"/>
        </w:rPr>
        <w:t>技术难点</w:t>
      </w:r>
    </w:p>
    <w:p w:rsidR="000B6BAE" w:rsidRPr="00187FD7" w:rsidRDefault="000B6BAE" w:rsidP="000B6BA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产品设计上重点考虑如何符合学生群体特征提供快速商品定位，同时支持灵活的任务推荐，比如拿手任务等；</w:t>
      </w:r>
    </w:p>
    <w:p w:rsidR="00233635" w:rsidRPr="000B6BAE" w:rsidRDefault="00233635"/>
    <w:p w:rsidR="00233635" w:rsidRDefault="00233635"/>
    <w:p w:rsidR="00233635" w:rsidRDefault="000B6BAE">
      <w:pPr>
        <w:pStyle w:val="1"/>
      </w:pPr>
      <w:r>
        <w:rPr>
          <w:rFonts w:hint="eastAsia"/>
        </w:rPr>
        <w:t>资源需求估计</w:t>
      </w:r>
    </w:p>
    <w:p w:rsidR="000B6BAE" w:rsidRDefault="000B6BAE" w:rsidP="000B6BAE">
      <w:pPr>
        <w:pStyle w:val="a3"/>
      </w:pPr>
      <w:r>
        <w:rPr>
          <w:rFonts w:hint="eastAsia"/>
        </w:rPr>
        <w:t>人员</w:t>
      </w:r>
    </w:p>
    <w:p w:rsidR="000B6BAE" w:rsidRDefault="000B6BAE" w:rsidP="000B6B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产品经理：依据本产品的商业背景和定位，吸取已有电商网站的成熟经验，结合地方特点和用户特征，设计符合某市大学生求助模式的产品。</w:t>
      </w:r>
    </w:p>
    <w:p w:rsidR="000B6BAE" w:rsidRDefault="000B6BAE" w:rsidP="000B6B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0B6BAE" w:rsidRDefault="000B6BAE" w:rsidP="000B6B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学生代表：有较多网上冲浪经历的学生代表，帮助分析学生群体的求助和帮助特征；</w:t>
      </w:r>
    </w:p>
    <w:p w:rsidR="000B6BAE" w:rsidRDefault="000B6BAE" w:rsidP="000B6BAE">
      <w:pPr>
        <w:pStyle w:val="a3"/>
      </w:pPr>
      <w:r>
        <w:rPr>
          <w:rFonts w:hint="eastAsia"/>
        </w:rPr>
        <w:lastRenderedPageBreak/>
        <w:t>资金</w:t>
      </w:r>
    </w:p>
    <w:p w:rsidR="000B6BAE" w:rsidRDefault="000B6BAE" w:rsidP="000B6BA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产品验证阶段前暂无需要。完成产品验证后，需要资金集中快速完成商家赞助和广告推广；</w:t>
      </w:r>
    </w:p>
    <w:p w:rsidR="000B6BAE" w:rsidRDefault="000B6BAE" w:rsidP="000B6BAE">
      <w:pPr>
        <w:pStyle w:val="a3"/>
      </w:pPr>
      <w:r>
        <w:rPr>
          <w:rFonts w:hint="eastAsia"/>
        </w:rPr>
        <w:t>设备</w:t>
      </w:r>
    </w:p>
    <w:p w:rsidR="000B6BAE" w:rsidRDefault="000B6BAE" w:rsidP="000B6B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0B6BAE" w:rsidRDefault="000B6BAE" w:rsidP="000B6BAE">
      <w:pPr>
        <w:pStyle w:val="a3"/>
      </w:pPr>
      <w:r>
        <w:rPr>
          <w:rFonts w:hint="eastAsia"/>
        </w:rPr>
        <w:t>设施</w:t>
      </w:r>
    </w:p>
    <w:p w:rsidR="000B6BAE" w:rsidRDefault="000B6BAE" w:rsidP="000B6B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233635" w:rsidRPr="000B6BAE" w:rsidRDefault="00233635">
      <w:pPr>
        <w:rPr>
          <w:sz w:val="28"/>
          <w:szCs w:val="28"/>
        </w:rPr>
      </w:pPr>
    </w:p>
    <w:p w:rsidR="00233635" w:rsidRDefault="00233635"/>
    <w:p w:rsidR="00233635" w:rsidRDefault="00233635"/>
    <w:p w:rsidR="00233635" w:rsidRDefault="000B6BAE">
      <w:pPr>
        <w:pStyle w:val="1"/>
      </w:pPr>
      <w:r>
        <w:rPr>
          <w:rFonts w:hint="eastAsia"/>
        </w:rPr>
        <w:t>风险分析</w:t>
      </w:r>
    </w:p>
    <w:tbl>
      <w:tblPr>
        <w:tblpPr w:leftFromText="180" w:rightFromText="180" w:vertAnchor="text" w:horzAnchor="margin" w:tblpY="59"/>
        <w:tblW w:w="7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083"/>
        <w:gridCol w:w="4961"/>
        <w:gridCol w:w="992"/>
      </w:tblGrid>
      <w:tr w:rsidR="000B6BAE" w:rsidRPr="000B6BAE" w:rsidTr="000B6BAE">
        <w:tc>
          <w:tcPr>
            <w:tcW w:w="534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编号</w:t>
            </w:r>
          </w:p>
        </w:tc>
        <w:tc>
          <w:tcPr>
            <w:tcW w:w="1083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事件描述</w:t>
            </w:r>
          </w:p>
        </w:tc>
        <w:tc>
          <w:tcPr>
            <w:tcW w:w="4961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根本原因</w:t>
            </w:r>
          </w:p>
        </w:tc>
        <w:tc>
          <w:tcPr>
            <w:tcW w:w="992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类型</w:t>
            </w:r>
          </w:p>
        </w:tc>
      </w:tr>
      <w:tr w:rsidR="000B6BAE" w:rsidRPr="000B6BAE" w:rsidTr="000B6BAE">
        <w:tc>
          <w:tcPr>
            <w:tcW w:w="534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R1</w:t>
            </w:r>
          </w:p>
        </w:tc>
        <w:tc>
          <w:tcPr>
            <w:tcW w:w="1083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学生认可度不高</w:t>
            </w:r>
          </w:p>
        </w:tc>
        <w:tc>
          <w:tcPr>
            <w:tcW w:w="4961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没有足够区别于已有电</w:t>
            </w:r>
            <w:proofErr w:type="gramStart"/>
            <w:r w:rsidRPr="000B6BAE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商服务</w:t>
            </w:r>
            <w:proofErr w:type="gramEnd"/>
            <w:r w:rsidRPr="000B6BAE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的吸引力</w:t>
            </w:r>
          </w:p>
        </w:tc>
        <w:tc>
          <w:tcPr>
            <w:tcW w:w="992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商业风险</w:t>
            </w:r>
          </w:p>
        </w:tc>
      </w:tr>
      <w:tr w:rsidR="000B6BAE" w:rsidRPr="000B6BAE" w:rsidTr="000B6BAE">
        <w:tc>
          <w:tcPr>
            <w:tcW w:w="534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R3</w:t>
            </w:r>
          </w:p>
        </w:tc>
        <w:tc>
          <w:tcPr>
            <w:tcW w:w="1083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 w:rsidRPr="000B6BAE"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人员不能及时到位</w:t>
            </w:r>
          </w:p>
        </w:tc>
        <w:tc>
          <w:tcPr>
            <w:tcW w:w="4961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无法快速组建技术团队</w:t>
            </w:r>
          </w:p>
        </w:tc>
        <w:tc>
          <w:tcPr>
            <w:tcW w:w="992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人员风险</w:t>
            </w:r>
          </w:p>
        </w:tc>
      </w:tr>
      <w:tr w:rsidR="000B6BAE" w:rsidRPr="000B6BAE" w:rsidTr="000B6BAE">
        <w:tc>
          <w:tcPr>
            <w:tcW w:w="534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R4</w:t>
            </w:r>
          </w:p>
        </w:tc>
        <w:tc>
          <w:tcPr>
            <w:tcW w:w="1083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 w:rsidRPr="000B6BAE"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无法获得足够的推广费用</w:t>
            </w:r>
          </w:p>
        </w:tc>
        <w:tc>
          <w:tcPr>
            <w:tcW w:w="4961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2" w:type="dxa"/>
          </w:tcPr>
          <w:p w:rsidR="000B6BAE" w:rsidRPr="000B6BAE" w:rsidRDefault="000B6BAE" w:rsidP="000B6BAE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0B6BAE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资金风险</w:t>
            </w:r>
          </w:p>
        </w:tc>
      </w:tr>
    </w:tbl>
    <w:p w:rsidR="000B6BAE" w:rsidRPr="000B6BAE" w:rsidRDefault="000B6BAE" w:rsidP="000B6BAE">
      <w:pPr>
        <w:spacing w:line="240" w:lineRule="atLeast"/>
        <w:jc w:val="left"/>
        <w:rPr>
          <w:rFonts w:ascii="宋体" w:eastAsia="宋体" w:hAnsi="Times New Roman" w:cs="Times New Roman"/>
          <w:snapToGrid w:val="0"/>
          <w:kern w:val="0"/>
          <w:sz w:val="20"/>
          <w:szCs w:val="20"/>
        </w:rPr>
      </w:pPr>
    </w:p>
    <w:p w:rsidR="000B6BAE" w:rsidRDefault="000B6BAE">
      <w:pPr>
        <w:pStyle w:val="1"/>
      </w:pPr>
    </w:p>
    <w:p w:rsidR="00233635" w:rsidRDefault="000B6BAE">
      <w:pPr>
        <w:pStyle w:val="1"/>
      </w:pPr>
      <w:bookmarkStart w:id="0" w:name="_GoBack"/>
      <w:bookmarkEnd w:id="0"/>
      <w:r>
        <w:rPr>
          <w:rFonts w:hint="eastAsia"/>
        </w:rPr>
        <w:t>收</w:t>
      </w:r>
      <w:r>
        <w:rPr>
          <w:rFonts w:hint="eastAsia"/>
        </w:rPr>
        <w:t>益分析</w:t>
      </w:r>
    </w:p>
    <w:p w:rsidR="00233635" w:rsidRDefault="000B6BA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233635" w:rsidRDefault="000B6B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233635" w:rsidRDefault="000B6B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233635" w:rsidRDefault="000B6B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233635" w:rsidRDefault="000B6B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23363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33635" w:rsidRDefault="000B6B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3363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33635" w:rsidRDefault="000B6B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233635" w:rsidRDefault="00233635">
      <w:pPr>
        <w:spacing w:line="360" w:lineRule="auto"/>
      </w:pPr>
    </w:p>
    <w:p w:rsidR="00233635" w:rsidRDefault="00233635"/>
    <w:sectPr w:rsidR="0023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6BAE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635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AB7B"/>
  <w15:docId w15:val="{C007662D-017C-4185-9310-2F4B8431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林旺</cp:lastModifiedBy>
  <cp:revision>9</cp:revision>
  <dcterms:created xsi:type="dcterms:W3CDTF">2012-08-30T05:55:00Z</dcterms:created>
  <dcterms:modified xsi:type="dcterms:W3CDTF">2019-03-10T08:04:00Z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