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2FA3"/>
          <w:sz w:val="56"/>
          <w:szCs w:val="56"/>
        </w:rPr>
        <w:t xml:space="preserve">BRIGHT TV</w:t>
      </w:r>
    </w:p>
    <w:p>
      <w:pPr>
        <w:spacing w:after="200"/>
      </w:pPr>
      <w:r>
        <w:rPr>
          <w:color w:val="1A1A1A"/>
          <w:sz w:val="28"/>
          <w:szCs w:val="28"/>
        </w:rPr>
        <w:t xml:space="preserve">Customer Value Management (CVM) Project Description</w:t>
      </w:r>
    </w:p>
    <w:p>
      <w:r>
        <w:rPr>
          <w:i/>
          <w:iCs/>
          <w:color w:val="555555"/>
          <w:sz w:val="22"/>
          <w:szCs w:val="22"/>
        </w:rPr>
        <w:t xml:space="preserve">Prepared by: Fuzo Mntungwa</w:t>
      </w:r>
    </w:p>
    <w:p>
      <w:pPr>
        <w:spacing w:after="300"/>
      </w:pPr>
      <w:r>
        <w:rPr>
          <w:i/>
          <w:iCs/>
          <w:color w:val="555555"/>
          <w:sz w:val="22"/>
          <w:szCs w:val="22"/>
        </w:rPr>
        <w:t xml:space="preserve">Date: 29 July 2026</w:t>
      </w:r>
    </w:p>
    <w:p>
      <w:pPr>
        <w:pStyle w:val="Heading1"/>
        <w:spacing w:after="160" w:before="360"/>
      </w:pPr>
      <w:r>
        <w:t xml:space="preserve">1. Project Background and Objective</w:t>
      </w:r>
    </w:p>
    <w:p>
      <w:pPr>
        <w:spacing w:after="160"/>
      </w:pPr>
      <w:r>
        <w:t xml:space="preserve">Bright TV's Chief Executive Officer has set an objective to grow the company's subscription base for the current financial year. To support this goal, the Customer Value Management (CVM) team requires clear, data-driven insight into how existing subscribers are engaging with the platform. This project analyses historical customer profile and viewership data to surface user and usage trends, identify the factors that influence consumption, recommend content strategies for low-consumption periods, and propose initiatives to grow Bright TV's overall user base.</w:t>
      </w:r>
    </w:p>
    <w:p>
      <w:pPr>
        <w:spacing w:after="160"/>
      </w:pPr>
      <w:r>
        <w:t xml:space="preserve">The findings and recommendations in this document are intended to give the CVM team a practical, evidence-based foundation for the marketing, scheduling, and content decisions that will support subscriber growth over the year ahead.</w:t>
      </w:r>
    </w:p>
    <w:p>
      <w:pPr>
        <w:pStyle w:val="Heading2"/>
        <w:spacing w:after="120" w:before="240"/>
      </w:pPr>
      <w:r>
        <w:t xml:space="preserve">1.1 Data Overview</w:t>
      </w:r>
    </w:p>
    <w:p>
      <w:pPr>
        <w:spacing w:after="160"/>
      </w:pPr>
      <w:r>
        <w:t xml:space="preserve">The dataset combines customer database records with playback event data, covering user profiles and viewership behaviour on the Bright TV platform. It contains 16 columns and 9,934 rows, with key fields including sub_id, watch_time, day_classification, channel_description, time_of_day, screen_time_bucket, duration, and age_groups.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F3EDFA" w:val="clear"/>
            <w:tcMar>
              <w:top w:type="dxa" w:w="120"/>
              <w:left w:type="dxa" w:w="120"/>
              <w:bottom w:type="dxa" w:w="120"/>
              <w:right w:type="dxa" w:w="120"/>
            </w:tcMar>
          </w:tcPr>
          <w:p>
            <w:pPr>
              <w:jc w:val="center"/>
            </w:pPr>
            <w:r>
              <w:rPr>
                <w:b/>
                <w:bCs/>
                <w:color w:val="6B2FA3"/>
                <w:sz w:val="30"/>
                <w:szCs w:val="30"/>
              </w:rPr>
              <w:t xml:space="preserve">9,934</w:t>
            </w:r>
          </w:p>
          <w:p>
            <w:pPr>
              <w:jc w:val="center"/>
            </w:pPr>
            <w:r>
              <w:rPr>
                <w:color w:val="555555"/>
                <w:sz w:val="18"/>
                <w:szCs w:val="18"/>
              </w:rPr>
              <w:t xml:space="preserve">Total Active Sessions</w:t>
            </w:r>
          </w:p>
        </w:tc>
        <w:tc>
          <w:tcPr>
            <w:tcW w:type="dxa" w:w="3120"/>
            <w:shd w:fill="F3EDFA" w:val="clear"/>
            <w:tcMar>
              <w:top w:type="dxa" w:w="120"/>
              <w:left w:type="dxa" w:w="120"/>
              <w:bottom w:type="dxa" w:w="120"/>
              <w:right w:type="dxa" w:w="120"/>
            </w:tcMar>
          </w:tcPr>
          <w:p>
            <w:pPr>
              <w:jc w:val="center"/>
            </w:pPr>
            <w:r>
              <w:rPr>
                <w:b/>
                <w:bCs/>
                <w:color w:val="6B2FA3"/>
                <w:sz w:val="30"/>
                <w:szCs w:val="30"/>
              </w:rPr>
              <w:t xml:space="preserve">4,375</w:t>
            </w:r>
          </w:p>
          <w:p>
            <w:pPr>
              <w:jc w:val="center"/>
            </w:pPr>
            <w:r>
              <w:rPr>
                <w:color w:val="555555"/>
                <w:sz w:val="18"/>
                <w:szCs w:val="18"/>
              </w:rPr>
              <w:t xml:space="preserve">Active Users</w:t>
            </w:r>
          </w:p>
        </w:tc>
        <w:tc>
          <w:tcPr>
            <w:tcW w:type="dxa" w:w="3120"/>
            <w:shd w:fill="F3EDFA" w:val="clear"/>
            <w:tcMar>
              <w:top w:type="dxa" w:w="120"/>
              <w:left w:type="dxa" w:w="120"/>
              <w:bottom w:type="dxa" w:w="120"/>
              <w:right w:type="dxa" w:w="120"/>
            </w:tcMar>
          </w:tcPr>
          <w:p>
            <w:pPr>
              <w:jc w:val="center"/>
            </w:pPr>
            <w:r>
              <w:rPr>
                <w:b/>
                <w:bCs/>
                <w:color w:val="6B2FA3"/>
                <w:sz w:val="30"/>
                <w:szCs w:val="30"/>
              </w:rPr>
              <w:t xml:space="preserve">1,522</w:t>
            </w:r>
          </w:p>
          <w:p>
            <w:pPr>
              <w:jc w:val="center"/>
            </w:pPr>
            <w:r>
              <w:rPr>
                <w:color w:val="555555"/>
                <w:sz w:val="18"/>
                <w:szCs w:val="18"/>
              </w:rPr>
              <w:t xml:space="preserve">Total Hours Watched</w:t>
            </w:r>
          </w:p>
        </w:tc>
      </w:tr>
    </w:tbl>
    <w:p>
      <w:pPr>
        <w:spacing w:after="120" w:before="120"/>
      </w:pPr>
      <w:r>
        <w:rPr>
          <w:i/>
          <w:iCs/>
          <w:color w:val="777777"/>
          <w:sz w:val="18"/>
          <w:szCs w:val="18"/>
        </w:rPr>
        <w:t xml:space="preserve">Note: figures exclude technical downtime.</w:t>
      </w:r>
    </w:p>
    <w:p>
      <w:pPr>
        <w:pStyle w:val="Heading1"/>
        <w:spacing w:after="160" w:before="360"/>
      </w:pPr>
      <w:r>
        <w:t xml:space="preserve">2. User and Usage Trends</w:t>
      </w:r>
    </w:p>
    <w:p>
      <w:pPr>
        <w:spacing w:after="160"/>
      </w:pPr>
      <w:r>
        <w:t xml:space="preserve">Analysis of the dataset points to several clear patterns in who is watching Bright TV, and when and how they are watching it.</w:t>
      </w:r>
    </w:p>
    <w:p>
      <w:pPr>
        <w:pStyle w:val="Heading2"/>
        <w:spacing w:after="120" w:before="240"/>
      </w:pPr>
      <w:r>
        <w:t xml:space="preserve">2.1 Regional Concentration</w:t>
      </w:r>
    </w:p>
    <w:p>
      <w:pPr>
        <w:pStyle w:val="ListParagraph"/>
        <w:numPr>
          <w:ilvl w:val="0"/>
          <w:numId w:val="1"/>
        </w:numPr>
        <w:spacing w:after="120"/>
      </w:pPr>
      <w:r>
        <w:t xml:space="preserve">Gauteng (~3,700 sessions), Western Cape (~1,800 sessions) and KwaZulu-Natal (~1,000 sessions) together generate the large majority of all viewing sessions.</w:t>
      </w:r>
    </w:p>
    <w:p>
      <w:pPr>
        <w:pStyle w:val="ListParagraph"/>
        <w:numPr>
          <w:ilvl w:val="0"/>
          <w:numId w:val="1"/>
        </w:numPr>
        <w:spacing w:after="120"/>
      </w:pPr>
      <w:r>
        <w:t xml:space="preserve">Remaining provinces (Eastern Cape, Mpumalanga, Limpopo, North West, Free State, Northern Cape) contribute comparatively little session volume.</w:t>
      </w:r>
    </w:p>
    <w:p>
      <w:pPr>
        <w:pStyle w:val="Heading2"/>
        <w:spacing w:after="120" w:before="240"/>
      </w:pPr>
      <w:r>
        <w:t xml:space="preserve">2.2 Gender Skew</w:t>
      </w:r>
    </w:p>
    <w:p>
      <w:pPr>
        <w:pStyle w:val="ListParagraph"/>
        <w:numPr>
          <w:ilvl w:val="0"/>
          <w:numId w:val="1"/>
        </w:numPr>
        <w:spacing w:after="120"/>
      </w:pPr>
      <w:r>
        <w:t xml:space="preserve">Male viewers account for 87% of sessions, compared to 10% for female viewers and 3% unclassified.</w:t>
      </w:r>
    </w:p>
    <w:p>
      <w:pPr>
        <w:pStyle w:val="ListParagraph"/>
        <w:numPr>
          <w:ilvl w:val="0"/>
          <w:numId w:val="1"/>
        </w:numPr>
        <w:spacing w:after="120"/>
      </w:pPr>
      <w:r>
        <w:t xml:space="preserve">This more than 8x imbalance suggests the current content and marketing mix appeals disproportionately to male audiences.</w:t>
      </w:r>
    </w:p>
    <w:p>
      <w:pPr>
        <w:pStyle w:val="Heading2"/>
        <w:spacing w:after="120" w:before="240"/>
      </w:pPr>
      <w:r>
        <w:t xml:space="preserve">2.3 Time-of-Day Patterns</w:t>
      </w:r>
    </w:p>
    <w:p>
      <w:pPr>
        <w:pStyle w:val="ListParagraph"/>
        <w:numPr>
          <w:ilvl w:val="0"/>
          <w:numId w:val="1"/>
        </w:numPr>
        <w:spacing w:after="120"/>
      </w:pPr>
      <w:r>
        <w:t xml:space="preserve">Mornings and afternoons are the platform's primetime, each recording roughly 3,800 sessions.</w:t>
      </w:r>
    </w:p>
    <w:p>
      <w:pPr>
        <w:pStyle w:val="ListParagraph"/>
        <w:numPr>
          <w:ilvl w:val="0"/>
          <w:numId w:val="1"/>
        </w:numPr>
        <w:spacing w:after="120"/>
      </w:pPr>
      <w:r>
        <w:t xml:space="preserve">Evening viewership tapers off, and night sessions fall sharply to around 700 - the lowest of any period.</w:t>
      </w:r>
    </w:p>
    <w:p>
      <w:pPr>
        <w:pStyle w:val="Heading2"/>
        <w:spacing w:after="120" w:before="240"/>
      </w:pPr>
      <w:r>
        <w:t xml:space="preserve">2.4 Session Length / Screen Time</w:t>
      </w:r>
    </w:p>
    <w:p>
      <w:pPr>
        <w:pStyle w:val="ListParagraph"/>
        <w:numPr>
          <w:ilvl w:val="0"/>
          <w:numId w:val="1"/>
        </w:numPr>
        <w:spacing w:after="120"/>
      </w:pPr>
      <w:r>
        <w:t xml:space="preserve">The majority of sessions (over 2,000) fall into the 'low usage' band of under 30 minutes.</w:t>
      </w:r>
    </w:p>
    <w:p>
      <w:pPr>
        <w:pStyle w:val="ListParagraph"/>
        <w:numPr>
          <w:ilvl w:val="0"/>
          <w:numId w:val="1"/>
        </w:numPr>
        <w:spacing w:after="120"/>
      </w:pPr>
      <w:r>
        <w:t xml:space="preserve">Medium usage (up to 60 minutes) and high usage (over 60 minutes) sessions together account for only around 800 sessions combined, indicating that extended viewing is uncommon.</w:t>
      </w:r>
    </w:p>
    <w:p>
      <w:pPr>
        <w:pStyle w:val="Heading2"/>
        <w:spacing w:after="120" w:before="240"/>
      </w:pPr>
      <w:r>
        <w:t xml:space="preserve">2.5 Growth Trajectory</w:t>
      </w:r>
    </w:p>
    <w:p>
      <w:pPr>
        <w:pStyle w:val="ListParagraph"/>
        <w:numPr>
          <w:ilvl w:val="0"/>
          <w:numId w:val="1"/>
        </w:numPr>
        <w:spacing w:after="120"/>
      </w:pPr>
      <w:r>
        <w:t xml:space="preserve">Monthly session volume more than doubled over the period observed, rising from roughly 2,100 in January to about 4,900 in March.</w:t>
      </w:r>
    </w:p>
    <w:p>
      <w:pPr>
        <w:pStyle w:val="ListParagraph"/>
        <w:numPr>
          <w:ilvl w:val="0"/>
          <w:numId w:val="1"/>
        </w:numPr>
        <w:spacing w:after="120"/>
      </w:pPr>
      <w:r>
        <w:t xml:space="preserve">This upward trend indicates existing momentum that further initiatives could build on.</w:t>
      </w:r>
    </w:p>
    <w:p>
      <w:pPr>
        <w:pStyle w:val="Heading1"/>
        <w:spacing w:after="160" w:before="360"/>
      </w:pPr>
      <w:r>
        <w:t xml:space="preserve">3. Factors Influencing Consumption</w:t>
      </w:r>
    </w:p>
    <w:p>
      <w:pPr>
        <w:spacing w:after="160"/>
      </w:pPr>
      <w:r>
        <w:t xml:space="preserve">Several underlying factors appear to shape how, when, and how much Bright TV subscribers consume content:</w:t>
      </w:r>
    </w:p>
    <w:p>
      <w:pPr>
        <w:pStyle w:val="ListParagraph"/>
        <w:numPr>
          <w:ilvl w:val="0"/>
          <w:numId w:val="1"/>
        </w:numPr>
        <w:spacing w:after="120"/>
      </w:pPr>
      <w:r>
        <w:t xml:space="preserve">Geographic concentration: Viewership is heavily concentrated in three metro-centred provinces, suggesting that access, marketing reach, and possibly connectivity infrastructure influence where consumption happens.</w:t>
      </w:r>
    </w:p>
    <w:p>
      <w:pPr>
        <w:pStyle w:val="ListParagraph"/>
        <w:numPr>
          <w:ilvl w:val="0"/>
          <w:numId w:val="1"/>
        </w:numPr>
        <w:spacing w:after="120"/>
      </w:pPr>
      <w:r>
        <w:t xml:space="preserve">Audience composition: The strong male skew suggests that current programming and promotional messaging are more closely aligned with male viewing preferences, which in turn shapes overall consumption patterns.</w:t>
      </w:r>
    </w:p>
    <w:p>
      <w:pPr>
        <w:pStyle w:val="ListParagraph"/>
        <w:numPr>
          <w:ilvl w:val="0"/>
          <w:numId w:val="1"/>
        </w:numPr>
        <w:spacing w:after="120"/>
      </w:pPr>
      <w:r>
        <w:t xml:space="preserve">Daily routines and scheduling: The concentration of sessions in the morning and afternoon, and the sharp night-time drop-off, points to viewing being tied to daily routines and to the current programming schedule not adequately capturing evening or night audiences.</w:t>
      </w:r>
    </w:p>
    <w:p>
      <w:pPr>
        <w:pStyle w:val="ListParagraph"/>
        <w:numPr>
          <w:ilvl w:val="0"/>
          <w:numId w:val="1"/>
        </w:numPr>
        <w:spacing w:after="120"/>
      </w:pPr>
      <w:r>
        <w:t xml:space="preserve">Content format and hooks: The dominance of short (under 30-minute) sessions suggests that content length, pacing, or the strength of episodic hooks affects how long users stay engaged per session.</w:t>
      </w:r>
    </w:p>
    <w:p>
      <w:pPr>
        <w:pStyle w:val="ListParagraph"/>
        <w:numPr>
          <w:ilvl w:val="0"/>
          <w:numId w:val="1"/>
        </w:numPr>
        <w:spacing w:after="120"/>
      </w:pPr>
      <w:r>
        <w:t xml:space="preserve">Onboarding and platform experience: Where users disengage quickly, aspects of app performance - such as load times and playback latency - may also be limiting session length and repeat engagement.</w:t>
      </w:r>
    </w:p>
    <w:p>
      <w:pPr>
        <w:pStyle w:val="Heading1"/>
        <w:spacing w:after="160" w:before="360"/>
      </w:pPr>
      <w:r>
        <w:t xml:space="preserve">4. Content Recommendations for Low-Consumption Periods</w:t>
      </w:r>
    </w:p>
    <w:p>
      <w:pPr>
        <w:spacing w:after="160"/>
      </w:pPr>
      <w:r>
        <w:t xml:space="preserve">Night-time viewing is Bright TV's clearest low-consumption window, and the gender imbalance represents an underserved audience segment throughout the day. The following content approaches are recommended to address both gaps:</w:t>
      </w:r>
    </w:p>
    <w:p>
      <w:pPr>
        <w:pStyle w:val="Heading2"/>
        <w:spacing w:after="120" w:before="240"/>
      </w:pPr>
      <w:r>
        <w:t xml:space="preserve">4.1 Night-Time Slot</w:t>
      </w:r>
    </w:p>
    <w:p>
      <w:pPr>
        <w:pStyle w:val="ListParagraph"/>
        <w:numPr>
          <w:ilvl w:val="0"/>
          <w:numId w:val="1"/>
        </w:numPr>
        <w:spacing w:after="120"/>
      </w:pPr>
      <w:r>
        <w:t xml:space="preserve">Introduce or reschedule flagship, high-value programming (drama series, movies, live sport highlights) into the evening/night window to convert casual daytime viewers into longer, higher-value night sessions.</w:t>
      </w:r>
    </w:p>
    <w:p>
      <w:pPr>
        <w:pStyle w:val="ListParagraph"/>
        <w:numPr>
          <w:ilvl w:val="0"/>
          <w:numId w:val="1"/>
        </w:numPr>
        <w:spacing w:after="120"/>
      </w:pPr>
      <w:r>
        <w:t xml:space="preserve">Test shorter, binge-friendly episodic formats specifically for the night slot, since current behaviour shows a strong preference for sub-30-minute sessions.</w:t>
      </w:r>
    </w:p>
    <w:p>
      <w:pPr>
        <w:pStyle w:val="ListParagraph"/>
        <w:numPr>
          <w:ilvl w:val="0"/>
          <w:numId w:val="1"/>
        </w:numPr>
        <w:spacing w:after="120"/>
      </w:pPr>
      <w:r>
        <w:t xml:space="preserve">Use late-evening news round-ups, highlight reels, and next-day previews to give viewers a reason to return before bed.</w:t>
      </w:r>
    </w:p>
    <w:p>
      <w:pPr>
        <w:pStyle w:val="Heading2"/>
        <w:spacing w:after="120" w:before="240"/>
      </w:pPr>
      <w:r>
        <w:t xml:space="preserve">4.2 Female-Targeted Content</w:t>
      </w:r>
    </w:p>
    <w:p>
      <w:pPr>
        <w:pStyle w:val="ListParagraph"/>
        <w:numPr>
          <w:ilvl w:val="0"/>
          <w:numId w:val="1"/>
        </w:numPr>
        <w:spacing w:after="120"/>
      </w:pPr>
      <w:r>
        <w:t xml:space="preserve">Develop and promote content genres known to perform well with female audiences, such as drama, lifestyle, reality, and family-oriented programming.</w:t>
      </w:r>
    </w:p>
    <w:p>
      <w:pPr>
        <w:pStyle w:val="ListParagraph"/>
        <w:numPr>
          <w:ilvl w:val="0"/>
          <w:numId w:val="1"/>
        </w:numPr>
        <w:spacing w:after="120"/>
      </w:pPr>
      <w:r>
        <w:t xml:space="preserve">Pair this content with marketing campaigns and channel placement specifically designed to reach and grow female viewership, rather than relying on the existing male-skewed promotional mix.</w:t>
      </w:r>
    </w:p>
    <w:p>
      <w:pPr>
        <w:pStyle w:val="Heading2"/>
        <w:spacing w:after="120" w:before="240"/>
      </w:pPr>
      <w:r>
        <w:t xml:space="preserve">4.3 Retention and Engagement Hooks</w:t>
      </w:r>
    </w:p>
    <w:p>
      <w:pPr>
        <w:pStyle w:val="ListParagraph"/>
        <w:numPr>
          <w:ilvl w:val="0"/>
          <w:numId w:val="1"/>
        </w:numPr>
        <w:spacing w:after="120"/>
      </w:pPr>
      <w:r>
        <w:t xml:space="preserve">Strengthen content hooks (cliffhangers, serialised storytelling, personalised recommendations) to lift session duration beyond the current 30-minute norm.</w:t>
      </w:r>
    </w:p>
    <w:p>
      <w:pPr>
        <w:pStyle w:val="ListParagraph"/>
        <w:numPr>
          <w:ilvl w:val="0"/>
          <w:numId w:val="1"/>
        </w:numPr>
        <w:spacing w:after="120"/>
      </w:pPr>
      <w:r>
        <w:t xml:space="preserve">Audit and improve app load times and player latency, since a smoother onboarding and playback experience is likely to support longer, more frequent sessions.</w:t>
      </w:r>
    </w:p>
    <w:p>
      <w:pPr>
        <w:pStyle w:val="Heading1"/>
        <w:spacing w:after="160" w:before="360"/>
      </w:pPr>
      <w:r>
        <w:t xml:space="preserve">5. Recommended Initiatives to Grow Bright TV's User Base</w:t>
      </w:r>
    </w:p>
    <w:p>
      <w:pPr>
        <w:pStyle w:val="ListParagraph"/>
        <w:numPr>
          <w:ilvl w:val="0"/>
          <w:numId w:val="1"/>
        </w:numPr>
        <w:spacing w:after="120"/>
      </w:pPr>
      <w:r>
        <w:t xml:space="preserve">Fix onboarding UX: Audit app load times and player latency to reduce early drop-off and improve first-session experience for new subscribers.</w:t>
      </w:r>
    </w:p>
    <w:p>
      <w:pPr>
        <w:pStyle w:val="ListParagraph"/>
        <w:numPr>
          <w:ilvl w:val="0"/>
          <w:numId w:val="1"/>
        </w:numPr>
        <w:spacing w:after="120"/>
      </w:pPr>
      <w:r>
        <w:t xml:space="preserve">Shift to a stronger prime-time offering: Reschedule flagship programmes into evening hours to capture high-value primetime audiences, while maintaining existing daytime playlists for current casual viewers.</w:t>
      </w:r>
    </w:p>
    <w:p>
      <w:pPr>
        <w:pStyle w:val="ListParagraph"/>
        <w:numPr>
          <w:ilvl w:val="0"/>
          <w:numId w:val="1"/>
        </w:numPr>
        <w:spacing w:after="120"/>
      </w:pPr>
      <w:r>
        <w:t xml:space="preserve">Expand the audience base: Introduce female-targeted content and marketing campaigns to close the significant gender gap in viewership.</w:t>
      </w:r>
    </w:p>
    <w:p>
      <w:pPr>
        <w:pStyle w:val="ListParagraph"/>
        <w:numPr>
          <w:ilvl w:val="0"/>
          <w:numId w:val="1"/>
        </w:numPr>
        <w:spacing w:after="120"/>
      </w:pPr>
      <w:r>
        <w:t xml:space="preserve">Target key regions: Concentrate acquisition marketing and advertising spend on Gauteng, Western Cape, and KwaZulu-Natal metro markets, where session volume - and therefore demand - is already highest.</w:t>
      </w:r>
    </w:p>
    <w:p>
      <w:pPr>
        <w:pStyle w:val="ListParagraph"/>
        <w:numPr>
          <w:ilvl w:val="0"/>
          <w:numId w:val="1"/>
        </w:numPr>
        <w:spacing w:after="120"/>
      </w:pPr>
      <w:r>
        <w:t xml:space="preserve">Build on existing momentum: Use the strong month-on-month growth already observed (January to March) as a basis for scaling successful campaigns and content into subsequent months.</w:t>
      </w:r>
    </w:p>
    <w:p>
      <w:pPr>
        <w:pStyle w:val="Heading1"/>
        <w:spacing w:after="160" w:before="360"/>
      </w:pPr>
      <w:r>
        <w:t xml:space="preserve">6. Conclusion</w:t>
      </w:r>
    </w:p>
    <w:p>
      <w:pPr>
        <w:spacing w:after="160"/>
      </w:pPr>
      <w:r>
        <w:t xml:space="preserve">The data shows a subscriber base that is geographically concentrated, skewed toward male viewers, most active during the day, and inclined toward shorter viewing sessions - alongside clear month-on-month growth momentum. Addressing the night-time and female-audience gaps with targeted content, improving the platform experience, and focusing acquisition efforts on the highest-performing regions together offer a practical, data-supported path for the CVM team to grow Bright TV's subscription base over the remainder of the financial year.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B2FA3" w:sz="6" w:space="4"/>
      </w:pBdr>
      <w:spacing w:after="160" w:before="360"/>
    </w:pPr>
    <w:rPr>
      <w:rFonts w:ascii="Calibri" w:cs="Calibri" w:eastAsia="Calibri" w:hAnsi="Calibri"/>
      <w:b/>
      <w:bCs/>
      <w:color w:val="6B2FA3"/>
      <w:sz w:val="32"/>
      <w:szCs w:val="32"/>
    </w:rPr>
  </w:style>
  <w:style w:type="paragraph" w:styleId="Heading2">
    <w:name w:val="Heading 2"/>
    <w:basedOn w:val="Normal"/>
    <w:next w:val="Normal"/>
    <w:qFormat/>
    <w:pPr>
      <w:spacing w:after="120" w:before="240"/>
    </w:pPr>
    <w:rPr>
      <w:rFonts w:ascii="Calibri" w:cs="Calibri" w:eastAsia="Calibri" w:hAnsi="Calibri"/>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2026-07-30T19:32:55.466Z</dcterms:created>
  <dcterms:modified xsi:type="dcterms:W3CDTF">2026-07-30T19:32:55.485Z</dcterms:modified>
</cp:coreProperties>
</file>

<file path=docProps/custom.xml><?xml version="1.0" encoding="utf-8"?>
<Properties xmlns="http://schemas.openxmlformats.org/officeDocument/2006/custom-properties" xmlns:vt="http://schemas.openxmlformats.org/officeDocument/2006/docPropsVTypes"/>
</file>