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营商环境风险</w:t>
      </w: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“意图识别与检索A+政策精神归纳B+风险分析C”提示词</w: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572135</wp:posOffset>
                </wp:positionV>
                <wp:extent cx="3637280" cy="4984750"/>
                <wp:effectExtent l="6350" t="6350" r="0" b="1270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7280" cy="4984750"/>
                          <a:chOff x="4101" y="4856"/>
                          <a:chExt cx="5728" cy="7850"/>
                        </a:xfrm>
                      </wpg:grpSpPr>
                      <wps:wsp>
                        <wps:cNvPr id="2" name="文本框 2"/>
                        <wps:cNvSpPr txBox="1"/>
                        <wps:spPr>
                          <a:xfrm>
                            <a:off x="4123" y="4856"/>
                            <a:ext cx="1938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0"/>
                                  <w:szCs w:val="20"/>
                                  <w:u w:val="none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0"/>
                                  <w:szCs w:val="20"/>
                                  <w:u w:val="none"/>
                                  <w:shd w:val="clear" w:fill="F9FAFB"/>
                                </w:rPr>
                                <w:t>用户输入事件描述</w:t>
                              </w:r>
                            </w:p>
                            <w:p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4101" y="6062"/>
                            <a:ext cx="2918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提示词A意图识别与检索</w:t>
                              </w: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4107" y="7406"/>
                            <a:ext cx="3207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下游检索系统（执行检索）</w:t>
                              </w: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直接箭头连接符 5"/>
                        <wps:cNvCnPr/>
                        <wps:spPr>
                          <a:xfrm>
                            <a:off x="5379" y="5624"/>
                            <a:ext cx="0" cy="4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箭头连接符 6"/>
                        <wps:cNvCnPr/>
                        <wps:spPr>
                          <a:xfrm>
                            <a:off x="5647" y="6913"/>
                            <a:ext cx="0" cy="4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6468" y="6921"/>
                            <a:ext cx="1723" cy="4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</w:rPr>
                                <w:t>输出：JSON检索条件</w:t>
                              </w:r>
                            </w:p>
                            <w:p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6585" y="8334"/>
                            <a:ext cx="2717" cy="4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lang w:eastAsia="zh-CN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</w:rPr>
                                <w:t>返回：原始材料</w:t>
                              </w: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</w:rPr>
                                <w:t>政策、案例、讲话</w:t>
                              </w: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  <w:lang w:eastAsia="zh-CN"/>
                                </w:rPr>
                                <w:t>）</w:t>
                              </w: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lang w:eastAsia="zh-CN"/>
                                </w:rPr>
                                <w:t>）</w:t>
                              </w:r>
                            </w:p>
                            <w:p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直接箭头连接符 9"/>
                        <wps:cNvCnPr/>
                        <wps:spPr>
                          <a:xfrm>
                            <a:off x="5818" y="8353"/>
                            <a:ext cx="0" cy="4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4203" y="8937"/>
                            <a:ext cx="2834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提示词</w:t>
                              </w: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  <w:lang w:val="en-US" w:eastAsia="zh-CN"/>
                                </w:rPr>
                                <w:t>B政策精神归纳</w:t>
                              </w: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直接箭头连接符 11"/>
                        <wps:cNvCnPr/>
                        <wps:spPr>
                          <a:xfrm>
                            <a:off x="6307" y="9793"/>
                            <a:ext cx="0" cy="88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4267" y="10029"/>
                            <a:ext cx="1723" cy="4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</w:rPr>
                                <w:t>输出：JSON</w:t>
                              </w: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  <w:lang w:val="en-US" w:eastAsia="zh-CN"/>
                                </w:rPr>
                                <w:t>动态原则</w:t>
                              </w:r>
                            </w:p>
                            <w:p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5850" y="10695"/>
                            <a:ext cx="3207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jc w:val="center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提示词</w:t>
                              </w: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  <w:lang w:val="en-US" w:eastAsia="zh-CN"/>
                                </w:rPr>
                                <w:t>C</w:t>
                              </w: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风险分析</w:t>
                              </w: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7817" y="9814"/>
                            <a:ext cx="2013" cy="4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  <w:lang w:val="en-US" w:eastAsia="zh-CN"/>
                                </w:rPr>
                                <w:t>内置</w:t>
                              </w: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</w:rPr>
                                <w:t>：</w:t>
                              </w: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15"/>
                                  <w:szCs w:val="15"/>
                                  <w:u w:val="none"/>
                                  <w:shd w:val="clear" w:fill="F9FAFB"/>
                                  <w:lang w:val="en-US" w:eastAsia="zh-CN"/>
                                </w:rPr>
                                <w:t>大前提固定原则</w:t>
                              </w:r>
                            </w:p>
                            <w:p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" name="直接箭头连接符 15"/>
                        <wps:cNvCnPr/>
                        <wps:spPr>
                          <a:xfrm>
                            <a:off x="8554" y="10275"/>
                            <a:ext cx="0" cy="4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/>
                        <wps:spPr>
                          <a:xfrm>
                            <a:off x="7456" y="11453"/>
                            <a:ext cx="0" cy="42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5621" y="11942"/>
                            <a:ext cx="3662" cy="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输出最终评估（</w:t>
                              </w:r>
                              <w:r>
                                <w:rPr>
                                  <w:rFonts w:hint="eastAsia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  <w:lang w:val="en-US" w:eastAsia="zh-CN"/>
                                </w:rPr>
                                <w:t>司法行为评估</w:t>
                              </w: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）</w:t>
                              </w: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jc w:val="center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  <w:r>
                                <w:rPr>
                                  <w:rFonts w:hint="default"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  <w:shd w:val="clear" w:fill="F9FAFB"/>
                                </w:rPr>
                                <w:t>风险分析</w:t>
                              </w:r>
                            </w:p>
                            <w:p>
                              <w:pPr>
                                <w:pStyle w:val="5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shd w:val="clear" w:fill="F9FAFB"/>
                                <w:wordWrap w:val="0"/>
                                <w:spacing w:before="0" w:beforeAutospacing="0" w:after="0" w:afterAutospacing="0"/>
                                <w:ind w:left="0" w:right="0" w:firstLine="0"/>
                                <w:rPr>
                                  <w:rFonts w:ascii="var(--ds-font-family-code)" w:hAnsi="var(--ds-font-family-code)" w:eastAsia="var(--ds-font-family-code)" w:cs="var(--ds-font-family-code)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u w:val="none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3pt;margin-top:45.05pt;height:392.5pt;width:286.4pt;z-index:251659264;mso-width-relative:page;mso-height-relative:page;" coordorigin="4101,4856" coordsize="5728,7850" o:gfxdata="UEsFBgAAAAAAAAAAAAAAAAAAAAAAAFBLAwQKAAAAAACHTuJAAAAAAAAAAAAAAAAABAAAAGRycy9Q&#10;SwMEFAAAAAgAh07iQIpc8hzYAAAABwEAAA8AAABkcnMvZG93bnJldi54bWxNjsFOwzAQRO9I/IO1&#10;SNyobUraErKpUAWcKiRapKo3N9kmUeN1FLtJ+/eYExxHM3rzsuXFtmKg3jeOEfREgSAuXNlwhfC9&#10;fX9YgPDBcGlax4RwJQ/L/PYmM2npRv6iYRMqESHsU4NQh9ClUvqiJmv8xHXEsTu63poQY1/Jsjdj&#10;hNtWPio1k9Y0HB9q09GqpuK0OVuEj9GMr1P9NqxPx9V1v00+d2tNiPd3Wr2ACHQJf2P41Y/qkEen&#10;gztz6UWLMIs7hGelQcQ2mU+fQBwQFvNEg8wz+d8//wFQSwMEFAAAAAgAh07iQLcSqsaLBQAAbioA&#10;AA4AAABkcnMvZTJvRG9jLnhtbO1az2/jRBS+I/E/WL7T+Ff8I2q6Ku22QlqxlQriPHHsxMKeMTOT&#10;JuWMgBPixAWEhAScFk5748Bfsy1/Bt+M7bgk2U0TRKHIPaTjmfHzzJtv3vvemzl8sihy4yrhImN0&#10;aNoHlmkkNGbjjE6G5ocfnL0TmoaQhI5JzmgyNK8TYT45evutw3k5SBw2Zfk44QaEUDGYl0NzKmU5&#10;6PVEPE0KIg5YmVA0powXROKRT3pjTuaQXuQ9x7L83pzxcclZnAiB2tOq0awl8vsIZGmaxckpi2dF&#10;QmUllSc5kZiSmGalMI/0aNM0ieXzNBWJNPKhiZlK/YuPoDxSv72jQzKYcFJOs7geArnPEFbmVJCM&#10;4qNLUadEEmPGszVRRRZzJlgqD2JW9KqJaI1gFra1optzzmalnstkMJ+US6VjoVa0vrfY+P2rC25k&#10;YyAB605JgRW//e2zV19/aaAC2pmXkwE6nfPysrzgdcWkelITXqS8UP8xFWOh9Xq91GuykEaMStd3&#10;AyeEymO0eVHoBf1a8/EUy6Pe82zLNg3VHPb9alXi6dP6/T7erl4OwurNXvPhnhrfcjjzEpgUraLE&#10;31PU5ZSUida/UDqoFeU0err55oub717c/PC54VSa0r2Umgy5eJdhVnZTL1C5QVue7bgrs250Zkdu&#10;M2ffU2KWUyaDkgt5nrDCUIWhyYFyDT5y9UzIqmvTRX1UsDwbn2V5rh/4ZHSSc+OKYEec6b9a+l+6&#10;5dSYD03fhbrXRCjZSxGjnMQfr0vAaHOKQasVqSavSnIxWmgIicGIja+hKM6qLSnK+CyD3GdEyAvC&#10;sQcBF1gp+Rw/ac4wGFaXTGPK+Keb6lV/rDhaTWOOPT00xSczwhPTyN+jwEJke54yAvrBA6rwwO+2&#10;jO620FlxwqAk4BKj00XVX+ZNMeWs+AjG7Fh9FU2Exvj20JRN8URWlgbGME6Oj3UnbPuSyGf0soyV&#10;aKVcyo5nkqWZXjqlpko3tfaAZ7ULHwDYgGJlAFpguw2AAf/dgF1vZ9/y9eYggwbYTqQsjbIEQQfs&#10;DtgPAWxvHdjapKpdtTuwA22xA8+q/VQDbNex0NQBe5Nl7iz2P0JF+g2wb799efPVT7e//vLqx5d/&#10;/P69Kr/42ejfsd4ntGZvjT9uGNSSuvXdINLQ7vuO3h6tzYZz09TNCWpP37C+hmbUTERITrLJVJ4w&#10;SkFKGK8c3Gt4CWWKlIAPKK6g6IbtBJb6lPLcKeg8ikU5hhenE7jUfIJ4JZZ8nZCI+3EaNdhTIqYV&#10;99F0R02HDIpMIqTJs2Johpb6q6olyfKndGzI6xKsmHDO5vX0N1Cbymcr8lX76gdy2v6bIaBtVG3n&#10;7gEB36usmx/Z2vV3EHgEEMCSrfI2vU/3cG++54OcgZv5kaODlxYAdqBiFW0GbE3p9g9I1jb+Ms5Y&#10;tnTxA1zmI4sfgJxVHNYphJ1plt8P4duAw9B1V3yRE9g1zfL8Le5oW2C8RFvjgDoc/h/iWLCYOpG1&#10;kRVFyonf3yWGKlzVSOx3LhFk6VGwIhs0ctUWoa5d+J2SGY5VZenCyNUWp3WKTgjz1MV8XZbu4bJ0&#10;NvKRbzJvaG9hvp3y+67KWsC+RUG02b6FcMUqrmkDxi7qU9l85UL+ragPDHzdvu19CuGASCkI2Jbl&#10;aO/YGriO9XenBs1R7ebjMCQK1qG477kBaD88t4aiH2mz00Kxy692J2IPnFyzN5wcoK71r7vQyCBU&#10;gavytGElo4U2zv673Ep3NqsvxLzGym5J9du75frDfh/Q1nbWCVbsbJfs/88m++0t2X60t7ZpO/cP&#10;PNy10SiwvS65oU6CHkdyA25kLbmxb8Yfh33VxSvbjryVqxquj8sbXXajy27o7Ia+aodriDoVUF+Z&#10;VPcc7z7r48/2mujR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IIAABbQ29udGVudF9UeXBlc10ueG1sUEsBAhQACgAAAAAAh07iQAAAAAAAAAAA&#10;AAAAAAYAAAAAAAAAAAAQAAAA9AYAAF9yZWxzL1BLAQIUABQAAAAIAIdO4kCKFGY80QAAAJQBAAAL&#10;AAAAAAAAAAEAIAAAABgHAABfcmVscy8ucmVsc1BLAQIUAAoAAAAAAIdO4kAAAAAAAAAAAAAAAAAE&#10;AAAAAAAAAAAAEAAAABYAAABkcnMvUEsBAhQAFAAAAAgAh07iQIpc8hzYAAAABwEAAA8AAAAAAAAA&#10;AQAgAAAAOAAAAGRycy9kb3ducmV2LnhtbFBLAQIUABQAAAAIAIdO4kC3EqrGiwUAAG4qAAAOAAAA&#10;AAAAAAEAIAAAAD0BAABkcnMvZTJvRG9jLnhtbFBLBQYAAAAABgAGAFkBAAA6CQAAAAA=&#10;">
                <o:lock v:ext="edit" aspectratio="f"/>
                <v:shape id="_x0000_s1026" o:spid="_x0000_s1026" o:spt="202" type="#_x0000_t202" style="position:absolute;left:4123;top:4856;height:764;width:1938;" fillcolor="#FFFFFF [3201]" filled="t" stroked="t" coordsize="21600,21600" o:gfxdata="UEsFBgAAAAAAAAAAAAAAAAAAAAAAAFBLAwQKAAAAAACHTuJAAAAAAAAAAAAAAAAABAAAAGRycy9Q&#10;SwMEFAAAAAgAh07iQJbwNh+2AAAA2gAAAA8AAABkcnMvZG93bnJldi54bWxFj8EKwjAQRO+C/xBW&#10;8GZTK4hUo6AgiDe1F29Ls7bFZlOSaPXvjSB4HGbmDbPavEwrnuR8Y1nBNElBEJdWN1wpKC77yQKE&#10;D8gaW8uk4E0eNuvhYIW5tj2f6HkOlYgQ9jkqqEPocil9WZNBn9iOOHo36wyGKF0ltcM+wk0rszSd&#10;S4MNx4UaO9rVVN7PD6PgMN+GKxX6qGfZzPaFLN2t9UqNR9N0CSLQK/zDv/ZBK8jgeyXeALn+AF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CW8DYftgAAANoAAAAPAAAAAAAAAAEAIAAAADgAAABkcnMvZG93bnJldi54bWxQSwEC&#10;FAAUAAAACACHTuJAMy8FnjsAAAA5AAAAEAAAAAAAAAABACAAAAAbAQAAZHJzL3NoYXBleG1sLnht&#10;bFBLBQYAAAAABgAGAFsBAADF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0"/>
                            <w:szCs w:val="20"/>
                            <w:u w:val="none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0"/>
                            <w:szCs w:val="20"/>
                            <w:u w:val="none"/>
                            <w:shd w:val="clear" w:fill="F9FAFB"/>
                          </w:rPr>
                          <w:t>用户输入事件描述</w:t>
                        </w:r>
                      </w:p>
                      <w:p>
                        <w:pPr>
                          <w:rPr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4101;top:6062;height:764;width:2918;" fillcolor="#FFFFFF [3201]" filled="t" stroked="t" coordsize="21600,21600" o:gfxdata="UEsFBgAAAAAAAAAAAAAAAAAAAAAAAFBLAwQKAAAAAACHTuJAAAAAAAAAAAAAAAAABAAAAGRycy9Q&#10;SwMEFAAAAAgAh07iQPm8k4S2AAAA2gAAAA8AAABkcnMvZG93bnJldi54bWxFj8EKwjAQRO+C/xBW&#10;8GZTLYhUo6AgiDe1F29Ls7bFZlOSaPXvjSB4HGbmDbPavEwrnuR8Y1nBNElBEJdWN1wpKC77yQKE&#10;D8gaW8uk4E0eNuvhYIW5tj2f6HkOlYgQ9jkqqEPocil9WZNBn9iOOHo36wyGKF0ltcM+wk0rZ2k6&#10;lwYbjgs1drSrqbyfH0bBYb4NVyr0UWezzPaFLN2t9UqNR9N0CSLQK/zDv/ZBK8jgeyXeALn+AF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D5vJOEtgAAANoAAAAPAAAAAAAAAAEAIAAAADgAAABkcnMvZG93bnJldi54bWxQSwEC&#10;FAAUAAAACACHTuJAMy8FnjsAAAA5AAAAEAAAAAAAAAABACAAAAAbAQAAZHJzL3NoYXBleG1sLnht&#10;bFBLBQYAAAAABgAGAFsBAADF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提示词A意图识别与检索</w:t>
                        </w: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4107;top:7406;height:764;width:3207;" fillcolor="#FFFFFF [3201]" filled="t" stroked="t" coordsize="21600,21600" o:gfxdata="UEsFBgAAAAAAAAAAAAAAAAAAAAAAAFBLAwQKAAAAAACHTuJAAAAAAAAAAAAAAAAABAAAAGRycy9Q&#10;SwMEFAAAAAgAh07iQHZVC/C2AAAA2gAAAA8AAABkcnMvZG93bnJldi54bWxFj80KwjAQhO+C7xBW&#10;8GZTfxCpRkFBEG9qL96WZm2LzaYk0erbG0HwOMzMN8xq8zKNeJLztWUF4yQFQVxYXXOpIL/sRwsQ&#10;PiBrbCyTgjd52Kz7vRVm2nZ8ouc5lCJC2GeooAqhzaT0RUUGfWJb4ujdrDMYonSl1A67CDeNnKTp&#10;XBqsOS5U2NKuouJ+fhgFh/k2XCnXRz2dTG2Xy8LdGq/UcDBOlyACvcI//GsftIIZfK/EGyDXH1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B2VQvwtgAAANoAAAAPAAAAAAAAAAEAIAAAADgAAABkcnMvZG93bnJldi54bWxQSwEC&#10;FAAUAAAACACHTuJAMy8FnjsAAAA5AAAAEAAAAAAAAAABACAAAAAbAQAAZHJzL3NoYXBleG1sLnht&#10;bFBLBQYAAAAABgAGAFsBAADF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下游检索系统（执行检索）</w:t>
                        </w: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lang w:val="en-US" w:eastAsia="zh-CN"/>
                          </w:rPr>
                        </w:pP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26" o:spid="_x0000_s1026" o:spt="32" type="#_x0000_t32" style="position:absolute;left:5379;top:5624;height:427;width:0;" filled="f" stroked="t" coordsize="21600,21600" o:gfxdata="UEsFBgAAAAAAAAAAAAAAAAAAAAAAAFBLAwQKAAAAAACHTuJAAAAAAAAAAAAAAAAABAAAAGRycy9Q&#10;SwMEFAAAAAgAh07iQMf0k6G7AAAA2gAAAA8AAABkcnMvZG93bnJldi54bWxFj0GLwjAUhO8L+x/C&#10;E7ytiUpVqtHDoiDe1npwb4/mbRtsXkoTrf57Iyx4HGbmG2a1ubtG3KgL1rOG8UiBIC69sVxpOBW7&#10;rwWIEJENNp5Jw4MCbNafHyvMje/5h27HWIkE4ZCjhjrGNpcylDU5DCPfEifvz3cOY5JdJU2HfYK7&#10;Rk6UmkmHltNCjS1911RejlenQfZ2VxRZP7XnhTrMp9mWf7cXrYeDsVqCiHSP7/B/e280ZPC6km6A&#10;XD8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Mf0k6G7AAAA2gAAAA8AAAAAAAAAAQAgAAAAOAAAAGRycy9kb3ducmV2Lnht&#10;bFBLAQIUABQAAAAIAIdO4kAzLwWeOwAAADkAAAAQAAAAAAAAAAEAIAAAACABAABkcnMvc2hhcGV4&#10;bWwueG1sUEsFBgAAAAAGAAYAWwEAAMo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5647;top:6913;height:427;width:0;" filled="f" stroked="t" coordsize="21600,21600" o:gfxdata="UEsFBgAAAAAAAAAAAAAAAAAAAAAAAFBLAwQKAAAAAACHTuJAAAAAAAAAAAAAAAAABAAAAGRycy9Q&#10;SwMEFAAAAAgAh07iQDcmDda8AAAA2gAAAA8AAABkcnMvZG93bnJldi54bWxFj81qwzAQhO+FvoPY&#10;Qm61lIT84ET2IcRQemvcQ3NbrI0tYq2MpcbJ21eFQo/DzHzD7Mu768WNxmA9a5hnCgRx443lVsNn&#10;Xb1uQYSIbLD3TBoeFKAsnp/2mBs/8QfdTrEVCcIhRw1djEMuZWg6chgyPxAn7+JHhzHJsZVmxCnB&#10;XS8XSq2lQ8tpocOBDh0119O30yAnW9X1alrar6163yxXRz4fr1rPXuZqByLSPf6H/9pvRsMafq+k&#10;GyCLH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3Jg3WvAAAANoAAAAPAAAAAAAAAAEAIAAAADgAAABkcnMvZG93bnJldi54&#10;bWxQSwECFAAUAAAACACHTuJAMy8FnjsAAAA5AAAAEAAAAAAAAAABACAAAAAhAQAAZHJzL3NoYXBl&#10;eG1sLnhtbFBLBQYAAAAABgAGAFsBAADLAwAAAAA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6468;top:6921;height:412;width:1723;" filled="f" stroked="f" coordsize="21600,21600" o:gfxdata="UEsFBgAAAAAAAAAAAAAAAAAAAAAAAFBLAwQKAAAAAACHTuJAAAAAAAAAAAAAAAAABAAAAGRycy9Q&#10;SwMEFAAAAAgAh07iQCPXEvC/AAAA2gAAAA8AAABkcnMvZG93bnJldi54bWxFj09rwkAUxO+Ffofl&#10;FXqrmwi1kroJEhBLsQejF2+v2Zc/mH0bs1tN/fRuoeBxmJnfMItsNJ040+BaywriSQSCuLS65VrB&#10;frd6mYNwHlljZ5kU/JKDLH18WGCi7YW3dC58LQKEXYIKGu/7REpXNmTQTWxPHLzKDgZ9kEMt9YCX&#10;ADednEbRTBpsOSw02FPeUHksfoyCz3z1hdvvqZlfu3y9qZb9aX94Ver5KY7eQXga/T383/7QCt7g&#10;70q4ATK9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j1xLwvwAAANoAAAAPAAAAAAAAAAEAIAAAADgAAABkcnMvZG93bnJl&#10;di54bWxQSwECFAAUAAAACACHTuJAMy8FnjsAAAA5AAAAEAAAAAAAAAABACAAAAAkAQAAZHJzL3No&#10;YXBleG1sLnhtbFBLBQYAAAAABgAGAFsBAADO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</w:rPr>
                          <w:t>输出：JSON检索条件</w:t>
                        </w:r>
                      </w:p>
                      <w:p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6585;top:8334;height:467;width:2717;" filled="f" stroked="f" coordsize="21600,21600" o:gfxdata="UEsFBgAAAAAAAAAAAAAAAAAAAAAAAFBLAwQKAAAAAACHTuJAAAAAAAAAAAAAAAAABAAAAGRycy9Q&#10;SwMEFAAAAAgAh07iQFJIhoK3AAAA2gAAAA8AAABkcnMvZG93bnJldi54bWxFT8kKwjAQvQv+QxjB&#10;m6YKilSjSEEU0YPLxdvYjG2xmdQmrl9vDoLHx9sns5cpxYNqV1hW0OtGIIhTqwvOFBwPi84IhPPI&#10;GkvLpOBNDmbTZmOCsbZP3tFj7zMRQtjFqCD3voqldGlOBl3XVsSBu9jaoA+wzqSu8RnCTSn7UTSU&#10;BgsODTlWlOSUXvd3o2CdLLa4O/fN6FMmy81lXt2Op4FS7VYvGoPw9PJ/8c+90grC1nAl3AA5/QJ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UkiGgrcAAADaAAAADwAAAAAAAAABACAAAAA4AAAAZHJzL2Rvd25yZXYueG1sUEsB&#10;AhQAFAAAAAgAh07iQDMvBZ47AAAAOQAAABAAAAAAAAAAAQAgAAAAHAEAAGRycy9zaGFwZXhtbC54&#10;bWxQSwUGAAAAAAYABgBbAQAAx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lang w:eastAsia="zh-CN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</w:rPr>
                          <w:t>返回：原始材料</w:t>
                        </w: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  <w:lang w:eastAsia="zh-CN"/>
                          </w:rPr>
                          <w:t>（</w:t>
                        </w: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</w:rPr>
                          <w:t>政策、案例、讲话</w:t>
                        </w: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  <w:lang w:eastAsia="zh-CN"/>
                          </w:rPr>
                          <w:t>）</w:t>
                        </w: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lang w:eastAsia="zh-CN"/>
                          </w:rPr>
                        </w:pP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lang w:eastAsia="zh-CN"/>
                          </w:rPr>
                          <w:t>）</w:t>
                        </w:r>
                      </w:p>
                      <w:p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_x0000_s1026" o:spid="_x0000_s1026" o:spt="32" type="#_x0000_t32" style="position:absolute;left:5818;top:8353;height:427;width:0;" filled="f" stroked="t" coordsize="21600,21600" o:gfxdata="UEsFBgAAAAAAAAAAAAAAAAAAAAAAAFBLAwQKAAAAAACHTuJAAAAAAAAAAAAAAAAABAAAAGRycy9Q&#10;SwMEFAAAAAgAh07iQEa5maS9AAAA2gAAAA8AAABkcnMvZG93bnJldi54bWxFj8FqwzAQRO+F/IPY&#10;Qm6NlAa3qRslhxBD6S12D8ltsba2iLUylho7f18VAj0OM/OG2ewm14krDcF61rBcKBDEtTeWGw1f&#10;VfG0BhEissHOM2m4UYDddvawwdz4kY90LWMjEoRDjhraGPtcylC35DAsfE+cvG8/OIxJDo00A44J&#10;7jr5rNSLdGg5LbTY076l+lL+OA1ytEVVZePKntbq83WVHfh8uGg9f1yqdxCRpvgfvrc/jIY3+LuS&#10;boDc/g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RrmZpL0AAADaAAAADwAAAAAAAAABACAAAAA4AAAAZHJzL2Rvd25yZXYu&#10;eG1sUEsBAhQAFAAAAAgAh07iQDMvBZ47AAAAOQAAABAAAAAAAAAAAQAgAAAAIgEAAGRycy9zaGFw&#10;ZXhtbC54bWxQSwUGAAAAAAYABgBbAQAAz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4203;top:8937;height:764;width:2834;" fillcolor="#FFFFFF [3201]" filled="t" stroked="t" coordsize="21600,21600" o:gfxdata="UEsFBgAAAAAAAAAAAAAAAAAAAAAAAFBLAwQKAAAAAACHTuJAAAAAAAAAAAAAAAAABAAAAGRycy9Q&#10;SwMEFAAAAAgAh07iQPz0gia4AAAA2wAAAA8AAABkcnMvZG93bnJldi54bWxFj0GrwkAMhO+C/2GJ&#10;4E23Koj0uQoKgnhTe/EWurEtr5stu6vVf28OgreEmcx8WW9frlVPCrHxbGA2zUARl942XBkorofJ&#10;ClRMyBZbz2TgTRG2m+Fgjbn1PZ/peUmVkhCOORqoU+pyrWNZk8M49R2xaHcfHCZZQ6VtwF7CXavn&#10;WbbUDhuWhho72tdU/l8ezsBxuUs3KuzJLuYL3xe6DPc2GjMezbI/UIle6Wf+Xh+t4Au9/CID6M0H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Pz0gia4AAAA2wAAAA8AAAAAAAAAAQAgAAAAOAAAAGRycy9kb3ducmV2LnhtbFBL&#10;AQIUABQAAAAIAIdO4kAzLwWeOwAAADkAAAAQAAAAAAAAAAEAIAAAAB0BAABkcnMvc2hhcGV4bWwu&#10;eG1sUEsFBgAAAAAGAAYAWwEAAMc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  <w:lang w:val="en-US" w:eastAsia="zh-CN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提示词</w:t>
                        </w: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  <w:lang w:val="en-US" w:eastAsia="zh-CN"/>
                          </w:rPr>
                          <w:t>B政策精神归纳</w:t>
                        </w: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26" o:spid="_x0000_s1026" o:spt="32" type="#_x0000_t32" style="position:absolute;left:6307;top:9793;height:885;width:0;" filled="f" stroked="t" coordsize="21600,21600" o:gfxdata="UEsFBgAAAAAAAAAAAAAAAAAAAAAAAFBLAwQKAAAAAACHTuJAAAAAAAAAAAAAAAAABAAAAGRycy9Q&#10;SwMEFAAAAAgAh07iQK16hty5AAAA2wAAAA8AAABkcnMvZG93bnJldi54bWxFT02LwjAQvQv7H8II&#10;3jSp4q5Uo4dFQbxpPezehma2DTaT0kSr/94Iwt7m8T5ntbm7RtyoC9azhmyiQBCX3liuNJyL3XgB&#10;IkRkg41n0vCgAJv1x2CFufE9H+l2ipVIIRxy1FDH2OZShrImh2HiW+LE/fnOYUywq6TpsE/hrpFT&#10;pT6lQ8upocaWvmsqL6er0yB7uyuKeT+zPwt1+JrNt/y7vWg9GmZqCSLSPf6L3+69SfMzeP2SDpDr&#10;J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CteobcuQAAANsAAAAPAAAAAAAAAAEAIAAAADgAAABkcnMvZG93bnJldi54bWxQ&#10;SwECFAAUAAAACACHTuJAMy8FnjsAAAA5AAAAEAAAAAAAAAABACAAAAAeAQAAZHJzL3NoYXBleG1s&#10;LnhtbFBLBQYAAAAABgAGAFsBAADIAwAAAAA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4267;top:10029;height:412;width:1723;" filled="f" stroked="f" coordsize="21600,21600" o:gfxdata="UEsFBgAAAAAAAAAAAAAAAAAAAAAAAFBLAwQKAAAAAACHTuJAAAAAAAAAAAAAAAAABAAAAGRycy9Q&#10;SwMEFAAAAAgAh07iQFS6cmy6AAAA2wAAAA8AAABkcnMvZG93bnJldi54bWxFT8uqwjAQ3Qv+QxjB&#10;naYWFKlGkYIo4l3odeNubMa22ExqE1/3640g3N0cznOm86epxJ0aV1pWMOhHIIgzq0vOFRx+l70x&#10;COeRNVaWScGLHMxn7dYUE20fvKP73ucihLBLUEHhfZ1I6bKCDLq+rYkDd7aNQR9gk0vd4COEm0rG&#10;UTSSBksODQXWlBaUXfY3o2CTLn9wd4rN+K9KV9vzor4ejkOlup1BNAHh6en/xV/3Wof5MXx+CQfI&#10;2R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VLpybLoAAADbAAAADwAAAAAAAAABACAAAAA4AAAAZHJzL2Rvd25yZXYueG1s&#10;UEsBAhQAFAAAAAgAh07iQDMvBZ47AAAAOQAAABAAAAAAAAAAAQAgAAAAHwEAAGRycy9zaGFwZXht&#10;bC54bWxQSwUGAAAAAAYABgBbAQAAyQ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lang w:val="en-US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</w:rPr>
                          <w:t>输出：JSON</w:t>
                        </w: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  <w:lang w:val="en-US" w:eastAsia="zh-CN"/>
                          </w:rPr>
                          <w:t>动态原则</w:t>
                        </w:r>
                      </w:p>
                      <w:p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5850;top:10695;height:764;width:3207;" fillcolor="#FFFFFF [3201]" filled="t" stroked="t" coordsize="21600,21600" o:gfxdata="UEsFBgAAAAAAAAAAAAAAAAAAAAAAAFBLAwQKAAAAAACHTuJAAAAAAAAAAAAAAAAABAAAAGRycy9Q&#10;SwMEFAAAAAgAh07iQAwmHFG0AAAA2wAAAA8AAABkcnMvZG93bnJldi54bWxFT70KwjAQ3gXfIZzg&#10;ZlMtiFSjoCCIm9rF7WjOtthcShKtvr0RBLf7+H5vtXmZVjzJ+caygmmSgiAurW64UlBc9pMFCB+Q&#10;NbaWScGbPGzWw8EKc217PtHzHCoRQ9jnqKAOocul9GVNBn1iO+LI3awzGCJ0ldQO+xhuWjlL07k0&#10;2HBsqLGjXU3l/fwwCg7zbbhSoY86m2W2L2Tpbq1XajyapksQgV7hL/65DzrOz+D7SzxArj9QSwME&#10;FAAAAAgAh07iQDMvBZ47AAAAOQAAABAAAABkcnMvc2hhcGV4bWwueG1ss7GvyM1RKEstKs7Mz7NV&#10;MtQzUFJIzUvOT8nMS7dVCg1x07VQUiguScxLSczJz0u1VapMLVayt+PlAgBQSwMECgAAAAAAh07i&#10;QAAAAAAAAAAAAAAAAAYAAABfcmVscy9QSwMEFAAAAAgAh07iQNVcJijMAAAAjwEAAAsAAABfcmVs&#10;cy8ucmVsc6WQsWoDMQyG90DfwWjv+ZKhlBBftkLWkEJXYevuTM6Wscw1efu4lEIvZMugQb/Q9wnt&#10;9pcwqZmyeI4G1k0LiqJl5+Ng4PP08foOSgpGhxNHMnAlgX33stodacJSl2T0SVSlRDEwlpK2Wosd&#10;KaA0nCjWSc85YKltHnRCe8aB9KZt33T+z4BuwVQHZyAf3AbU6Zqq+Y4dvM0s3JfGctDc994+omoZ&#10;MdFXmCoG80DFgMvym9bTmlqgH5vXT5odf8cjzUvxT5hp/vPqxRu7G1BLAwQUAAAACACHTuJAWuMR&#10;ZvcAAADiAQAAEwAAAFtDb250ZW50X1R5cGVzXS54bWyVkU1PxCAQhu8m/gcyV9NSPRhjSvdg9ahG&#10;1x8wgWlLtgXCYN3999L9uBjXxCPMvM/7BOrVdhrFTJGtdwquywoEOe2Ndb2Cj/VTcQeCEzqDo3ek&#10;YEcMq+byol7vArHIaccKhpTCvZSsB5qQSx/I5Unn44QpH2MvA+oN9iRvqupWau8SuVSkhQFN3VKH&#10;n2MSj9t8fTCJNDKIh8Pi0qUAQxitxpRN5ezMj5bi2FDm5H6HBxv4KmuA/LVhmZwvOOZe8tNEa0i8&#10;YkzPOGUNaSJL479cpLn8G7JYTlz4rrOayjZym2NvNJ+sztF5wEAZ/V/8+5I7weX+h5pvUEsBAhQA&#10;FAAAAAgAh07iQFrjEWb3AAAA4gEAABMAAAAAAAAAAQAgAAAAmwIAAFtDb250ZW50X1R5cGVzXS54&#10;bWxQSwECFAAKAAAAAACHTuJAAAAAAAAAAAAAAAAABgAAAAAAAAAAABAAAACCAQAAX3JlbHMvUEsB&#10;AhQAFAAAAAgAh07iQNVcJijMAAAAjwEAAAsAAAAAAAAAAQAgAAAApgEAAF9yZWxzLy5yZWxzUEsB&#10;AhQACgAAAAAAh07iQAAAAAAAAAAAAAAAAAQAAAAAAAAAAAAQAAAAFgAAAGRycy9QSwECFAAUAAAA&#10;CACHTuJADCYcUbQAAADbAAAADwAAAAAAAAABACAAAAA4AAAAZHJzL2Rvd25yZXYueG1sUEsBAhQA&#10;FAAAAAgAh07iQDMvBZ47AAAAOQAAABAAAAAAAAAAAQAgAAAAGQEAAGRycy9zaGFwZXhtbC54bWxQ&#10;SwUGAAAAAAYABgBbAQAAww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jc w:val="center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提示词</w:t>
                        </w: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  <w:lang w:val="en-US" w:eastAsia="zh-CN"/>
                          </w:rPr>
                          <w:t>C</w:t>
                        </w: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风险分析</w:t>
                        </w: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7817;top:9814;height:412;width:2013;" filled="f" stroked="f" coordsize="21600,21600" o:gfxdata="UEsFBgAAAAAAAAAAAAAAAAAAAAAAAFBLAwQKAAAAAACHTuJAAAAAAAAAAAAAAAAABAAAAGRycy9Q&#10;SwMEFAAAAAgAh07iQLQfT4O8AAAA2wAAAA8AAABkcnMvZG93bnJldi54bWxFT01rwkAQvQv+h2WE&#10;3nQTaYtE1yABUUp7MHrxNmbHJJidjdlV0/76bqHgbR7vcxZpbxpxp87VlhXEkwgEcWF1zaWCw349&#10;noFwHlljY5kUfJODdDkcLDDR9sE7uue+FCGEXYIKKu/bREpXVGTQTWxLHLiz7Qz6ALtS6g4fIdw0&#10;chpF79JgzaGhwpayiopLfjMKPrL1F+5OUzP7abLN53nVXg/HN6VeRnE0B+Gp90/xv3urw/xX+Psl&#10;HCCXv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0H0+DvAAAANsAAAAPAAAAAAAAAAEAIAAAADgAAABkcnMvZG93bnJldi54&#10;bWxQSwECFAAUAAAACACHTuJAMy8FnjsAAAA5AAAAEAAAAAAAAAABACAAAAAhAQAAZHJzL3NoYXBl&#10;eG1sLnhtbFBLBQYAAAAABgAGAFsBAADL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lang w:val="en-US"/>
                          </w:rPr>
                        </w:pP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  <w:lang w:val="en-US" w:eastAsia="zh-CN"/>
                          </w:rPr>
                          <w:t>内置</w:t>
                        </w: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</w:rPr>
                          <w:t>：</w:t>
                        </w: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15"/>
                            <w:szCs w:val="15"/>
                            <w:u w:val="none"/>
                            <w:shd w:val="clear" w:fill="F9FAFB"/>
                            <w:lang w:val="en-US" w:eastAsia="zh-CN"/>
                          </w:rPr>
                          <w:t>大前提固定原则</w:t>
                        </w:r>
                      </w:p>
                      <w:p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_x0000_s1026" o:spid="_x0000_s1026" o:spt="32" type="#_x0000_t32" style="position:absolute;left:8554;top:10275;height:427;width:0;" filled="f" stroked="t" coordsize="21600,21600" o:gfxdata="UEsFBgAAAAAAAAAAAAAAAAAAAAAAAFBLAwQKAAAAAACHTuJAAAAAAAAAAAAAAAAABAAAAGRycy9Q&#10;SwMEFAAAAAgAh07iQNJBgN+5AAAA2wAAAA8AAABkcnMvZG93bnJldi54bWxFT02LwjAQvS/sfwgj&#10;eFsTlapUo4dFQbyt9eDehma2DTaT0kSr/94IC97m8T5ntbm7RtyoC9azhvFIgSAuvbFcaTgVu68F&#10;iBCRDTaeScODAmzWnx8rzI3v+Ydux1iJFMIhRw11jG0uZShrchhGviVO3J/vHMYEu0qaDvsU7ho5&#10;UWomHVpODTW29F1TeTlenQbZ211RZP3UnhfqMJ9mW/7dXrQeDsZqCSLSPb7F/+69SfMzeP2SDpDr&#10;J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DSQYDfuQAAANsAAAAPAAAAAAAAAAEAIAAAADgAAABkcnMvZG93bnJldi54bWxQ&#10;SwECFAAUAAAACACHTuJAMy8FnjsAAAA5AAAAEAAAAAAAAAABACAAAAAeAQAAZHJzL3NoYXBleG1s&#10;LnhtbFBLBQYAAAAABgAGAFsBAADIAwAAAAA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7456;top:11453;height:427;width:0;" filled="f" stroked="t" coordsize="21600,21600" o:gfxdata="UEsFBgAAAAAAAAAAAAAAAAAAAAAAAFBLAwQKAAAAAACHTuJAAAAAAAAAAAAAAAAABAAAAGRycy9Q&#10;SwMEFAAAAAgAh07iQCKTHqi7AAAA2wAAAA8AAABkcnMvZG93bnJldi54bWxFTztrwzAQ3gv9D+IK&#10;2WopCXngRPYQYijdGndotsO62CLWyVhqnPz7qlDodh/f8/bl3fXiRmOwnjXMMwWCuPHGcqvhs65e&#10;tyBCRDbYeyYNDwpQFs9Pe8yNn/iDbqfYihTCIUcNXYxDLmVoOnIYMj8QJ+7iR4cxwbGVZsQphbte&#10;LpRaS4eWU0OHAx06aq6nb6dBTraq69W0tF9b9b5Zro58Pl61nr3M1Q5EpHv8F/+530yav4bfX9IB&#10;svg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CKTHqi7AAAA2wAAAA8AAAAAAAAAAQAgAAAAOAAAAGRycy9kb3ducmV2Lnht&#10;bFBLAQIUABQAAAAIAIdO4kAzLwWeOwAAADkAAAAQAAAAAAAAAAEAIAAAACABAABkcnMvc2hhcGV4&#10;bWwueG1sUEsFBgAAAAAGAAYAWwEAAMo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5621;top:11942;height:764;width:3662;" fillcolor="#FFFFFF [3201]" filled="t" stroked="t" coordsize="21600,21600" o:gfxdata="UEsFBgAAAAAAAAAAAAAAAAAAAAAAAFBLAwQKAAAAAACHTuJAAAAAAAAAAAAAAAAABAAAAGRycy9Q&#10;SwMEFAAAAAgAh07iQHMdGlK1AAAA2wAAAA8AAABkcnMvZG93bnJldi54bWxFT70KwjAQ3gXfIZzg&#10;ZlMVVKpRUBDETe3idjRnW2wuJYlW394Igtt9fL+32rxMI57kfG1ZwThJQRAXVtdcKsgv+9EChA/I&#10;GhvLpOBNHjbrfm+FmbYdn+h5DqWIIewzVFCF0GZS+qIigz6xLXHkbtYZDBG6UmqHXQw3jZyk6Uwa&#10;rDk2VNjSrqLifn4YBYfZNlwp10c9nUxtl8vC3Rqv1HAwTpcgAr3CX/xzH3ScP4fvL/EAuf4AUEsD&#10;BBQAAAAIAIdO4kAzLwWeOwAAADkAAAAQAAAAZHJzL3NoYXBleG1sLnhtbLOxr8jNUShLLSrOzM+z&#10;VTLUM1BSSM1Lzk/JzEu3VQoNcdO1UFIoLknMS0nMyc9LtVWqTC1Wsrfj5QIAUEsDBAoAAAAAAIdO&#10;4kAAAAAAAAAAAAAAAAAGAAAAX3JlbHMvUEsDBBQAAAAIAIdO4kDVXCYozAAAAI8BAAALAAAAX3Jl&#10;bHMvLnJlbHOlkLFqAzEMhvdA38Fo7/mSoZQQX7ZC1pBCV2Hr7kzOlrHMNXn7uJRCL2TLoEG/0PcJ&#10;7faXMKmZsniOBtZNC4qiZefjYODz9PH6DkoKRocTRzJwJYF997LaHWnCUpdk9ElUpUQxMJaStlqL&#10;HSmgNJwo1knPOWCpbR50QnvGgfSmbd90/s+AbsFUB2cgH9wG1OmaqvmOHbzNLNyXxnLQ3PfePqJq&#10;GTHRV5gqBvNAxYDL8pvW05paoB+b10+aHX/HI81L8U+Yaf7z6sUbuxtQSwMEFAAAAAgAh07iQFrj&#10;EWb3AAAA4gEAABMAAABbQ29udGVudF9UeXBlc10ueG1slZFNT8QgEIbvJv4HMlfTUj0YY0r3YPWo&#10;RtcfMIFpS7YFwmDd/ffS/bgY18QjzLzP+wTq1XYaxUyRrXcKrssKBDntjXW9go/1U3EHghM6g6N3&#10;pGBHDKvm8qJe7wKxyGnHCoaUwr2UrAeakEsfyOVJ5+OEKR9jLwPqDfYkb6rqVmrvErlUpIUBTd1S&#10;h59jEo/bfH0wiTQyiIfD4tKlAEMYrcaUTeXszI+W4thQ5uR+hwcb+CprgPy1YZmcLzjmXvLTRGtI&#10;vGJMzzhlDWkiS+O/XKS5/BuyWE5c+K6zmso2cptjbzSfrM7RecBAGf1f/PuSO8Hl/oeab1BLAQIU&#10;ABQAAAAIAIdO4kBa4xFm9wAAAOIBAAATAAAAAAAAAAEAIAAAAJwCAABbQ29udGVudF9UeXBlc10u&#10;eG1sUEsBAhQACgAAAAAAh07iQAAAAAAAAAAAAAAAAAYAAAAAAAAAAAAQAAAAgwEAAF9yZWxzL1BL&#10;AQIUABQAAAAIAIdO4kDVXCYozAAAAI8BAAALAAAAAAAAAAEAIAAAAKcBAABfcmVscy8ucmVsc1BL&#10;AQIUAAoAAAAAAIdO4kAAAAAAAAAAAAAAAAAEAAAAAAAAAAAAEAAAABYAAABkcnMvUEsBAhQAFAAA&#10;AAgAh07iQHMdGlK1AAAA2wAAAA8AAAAAAAAAAQAgAAAAOAAAAGRycy9kb3ducmV2LnhtbFBLAQIU&#10;ABQAAAAIAIdO4kAzLwWeOwAAADkAAAAQAAAAAAAAAAEAIAAAABoBAABkcnMvc2hhcGV4bWwueG1s&#10;UEsFBgAAAAAGAAYAWwEAAMQ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输出最终评估（</w:t>
                        </w:r>
                        <w:r>
                          <w:rPr>
                            <w:rFonts w:hint="eastAsia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  <w:lang w:val="en-US" w:eastAsia="zh-CN"/>
                          </w:rPr>
                          <w:t>司法行为评估</w:t>
                        </w: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）</w:t>
                        </w: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jc w:val="center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  <w:r>
                          <w:rPr>
                            <w:rFonts w:hint="default"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  <w:shd w:val="clear" w:fill="F9FAFB"/>
                          </w:rPr>
                          <w:t>风险分析</w:t>
                        </w:r>
                      </w:p>
                      <w:p>
                        <w:pPr>
                          <w:pStyle w:val="5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shd w:val="clear" w:fill="F9FAFB"/>
                          <w:wordWrap w:val="0"/>
                          <w:spacing w:before="0" w:beforeAutospacing="0" w:after="0" w:afterAutospacing="0"/>
                          <w:ind w:left="0" w:right="0" w:firstLine="0"/>
                          <w:rPr>
                            <w:rFonts w:ascii="var(--ds-font-family-code)" w:hAnsi="var(--ds-font-family-code)" w:eastAsia="var(--ds-font-family-code)" w:cs="var(--ds-font-family-code)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u w:val="none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>流程图：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意图识别与检索提示词A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【角色与任务】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一名专业的政策检索分析师。你的唯一任务是根据用户输入的事件描述，生成一组精准的检索指令，用于从政策文件数据库、司法案例库、领导讲话库中检索相关信息。你不需要执行检索，也不需要分析事件的对错，只需生成可供下游系统执行的检索条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【输入】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用户输入的事件描述（一段自然语言文本，可能包含具体案情、争议焦点、涉及主体等）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【输出格式】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请严格按照以下JSON结构输出，确保字段完整、内容准确：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"event_summary": "对用户事件的一句话概括",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"domain": "事件所属领域（从以下列表选择最匹配的一项：人工智能/数据要素/平台经济/传统知识产权/行政执法/合同纠纷/企业退出/劳动用工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财税金融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其他）",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"core_issue": "核心争议点（一句话提炼本案的法律或政策问题）",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"key_elements":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"subject": "主要主体类型（如：初创企业、大型企业、个人、监管部门）",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"action": "核心行为（如：被暂停测试资格、被列入失信名单）",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"object": "涉及客体（如：无人驾驶算法、数据采集、商标注册）",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"context": "关键背景（如：首次发生、无实际损害、企业规模等）"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"search_criteria":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"text_search":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"fields": ["标题", "摘要", "正文", "文章内容"],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"must_keywords": ["必须包含的关键词（至少2-3个核心词）"],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"should_keywords": ["可选扩展关键词（同义词、相关概念）"],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"exclude_keywords": ["需要排除的关键词（若无则留空数组）"]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"structured_filters":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"date_range":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"start": "YYYY-MM-DD",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"end": "YYYY-MM-DD"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"publisher":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"values": []  // 如需限定发布机构，填写具体名称；否则留空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"category":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"policy_category": [],  // 政策文件分类，如营商环境、人工智能、市场监管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"article_type": []      // 公众号文章类型，如典型案例、政策解读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"source_tables": ["policy", "article"]  // 指定检索哪些表，默认两者都查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"priority_suggestion": "检索优先级建议（例如：优先检索政策文件中的相关规定，其次关注公众号中的典型案例）"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【注意事项】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关键词应具体，避免过于宽泛（如“政策”“法律”）。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日期范围默认设为最近3年，可根据事件性质适当调整。若事件涉及新兴技术领域（如人工智能、数据要素），日期范围可缩短至1年；若涉及传统领域，维持3年。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若无法确定分类或类型，可留空数组，由下游系统自行处理。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政策精神归纳提示词B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设计目标</w:t>
      </w:r>
      <w:r>
        <w:rPr>
          <w:rFonts w:hint="eastAsia"/>
          <w:lang w:val="en-US" w:eastAsia="zh-CN"/>
        </w:rPr>
        <w:t>】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输入：检索返回的若干条原始文件（政策文件节选、案例裁判要旨、领导讲话段落等）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输出：一份结构化的、针对当前事件领域的政策精神摘要，明确列出本次评估需要遵循的核心原则、可能存在的价值冲突、优先级建议。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核心任务：从分散的、可能冗长的官方文本中，提取出与事件最相关的规范性要求和政策导向。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【角色设定】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你是一名专业的政策文本分析师，擅长从官方文件、司法案例、领导讲话中提炼核心政策精神。你的输出将作为后续风险评估的基准（大前提），因此必须准确、清晰、有条理。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【输入说明】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你将收到：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用户原始事件（帮助理解背景）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检索得到的若干条原始材料（每条附有来源类型、标题、核心内容）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【任务】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请综合所有检索材料，提炼出适用于评估该事件的动态政策精神要点。具体要求如下：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1.归纳动态原则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将检索材料中与事件相关的政策导向、司法态度、治理理念归纳为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条</w:t>
      </w:r>
      <w:r>
        <w:rPr>
          <w:rFonts w:hint="eastAsia"/>
          <w:lang w:val="en-US" w:eastAsia="zh-CN"/>
        </w:rPr>
        <w:t>动态</w:t>
      </w:r>
      <w:r>
        <w:rPr>
          <w:rFonts w:hint="default"/>
          <w:lang w:val="en-US" w:eastAsia="zh-CN"/>
        </w:rPr>
        <w:t>原则。每条原则应当：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简要概括原则名称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用一句话简明扼要地表述（例如：“对人工智能领域的轻微过失应给予容错空间”）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（3）注明其来源（如：XX文件第X条、XX典型案例、XX讲话精神），如有发布机构层级则注明，以便后续追溯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2.识别潜在冲突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如果检索材料中存在不同价值取向的表述（例如：既要鼓励创新，又要保护知识产权；既要规范平台，又要避免过度干预），请明确指出这些</w:t>
      </w:r>
      <w:r>
        <w:rPr>
          <w:rFonts w:hint="eastAsia"/>
          <w:lang w:val="en-US" w:eastAsia="zh-CN"/>
        </w:rPr>
        <w:t>冲突</w:t>
      </w:r>
      <w:r>
        <w:rPr>
          <w:rFonts w:hint="default"/>
          <w:lang w:val="en-US" w:eastAsia="zh-CN"/>
        </w:rPr>
        <w:t>，并尝试说明当前政策倾向或平衡点。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【输出格式】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请严格按照以下结构输出：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"dynamic_principles": [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"动态原则名称",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"description": "原则内涵描述",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"source": "来源文件</w:t>
      </w:r>
      <w:r>
        <w:rPr>
          <w:rFonts w:hint="eastAsia"/>
          <w:lang w:val="en-US" w:eastAsia="zh-CN"/>
        </w:rPr>
        <w:t>/层级</w:t>
      </w:r>
      <w:r>
        <w:rPr>
          <w:rFonts w:hint="default"/>
          <w:lang w:val="en-US" w:eastAsia="zh-CN"/>
        </w:rPr>
        <w:t>/案例标题",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"tensions_with_fixed": ["与</w:t>
      </w:r>
      <w:r>
        <w:rPr>
          <w:rFonts w:hint="eastAsia"/>
          <w:lang w:val="en-US" w:eastAsia="zh-CN"/>
        </w:rPr>
        <w:t>其他原则</w:t>
      </w:r>
      <w:r>
        <w:rPr>
          <w:rFonts w:hint="default"/>
          <w:lang w:val="en-US" w:eastAsia="zh-CN"/>
        </w:rPr>
        <w:t>可能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冲突描述，若无则写'无'"],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"summary": "对检索材料整体倾向的一句话总结"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注意</w:t>
      </w:r>
      <w:r>
        <w:rPr>
          <w:rFonts w:hint="eastAsia"/>
          <w:lang w:val="en-US" w:eastAsia="zh-CN"/>
        </w:rPr>
        <w:t>事项】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只基于提供的检索片段进行归纳，不要自行添加外部知识。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风险分析提示词C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角色设定</w:t>
      </w:r>
      <w:r>
        <w:rPr>
          <w:rFonts w:hint="eastAsia"/>
          <w:lang w:val="en-US" w:eastAsia="zh-CN"/>
        </w:rPr>
        <w:t>】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你是一名资深营商环境司法风险评估专家，熟悉国家及地方营商环境政策精神。</w:t>
      </w:r>
      <w:r>
        <w:rPr>
          <w:rFonts w:hint="default"/>
          <w:b/>
          <w:bCs/>
          <w:lang w:val="en-US" w:eastAsia="zh-CN"/>
        </w:rPr>
        <w:t>你的核心任务是评估司法行为（包括判决、保全、执行、处罚等）是否可能对营商环境造成破坏，并给出风险预警。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【固定大前提（内置知识）】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以下是中国营商环境的核心原则（来自国务院及相关部门文件），你必须在评估中始终遵循这些底线原则：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b/>
          <w:bCs/>
          <w:lang w:val="en-US" w:eastAsia="zh-CN"/>
        </w:rPr>
        <w:t>市场准入公平原则</w:t>
      </w:r>
      <w:r>
        <w:rPr>
          <w:rFonts w:hint="default"/>
          <w:lang w:val="en-US" w:eastAsia="zh-CN"/>
        </w:rPr>
        <w:t>：全面实施市场准入负面清单管理，推动“非禁即入”普遍落实，禁止对市场主体设置不合理限制或隐性门槛。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b/>
          <w:bCs/>
          <w:lang w:val="en-US" w:eastAsia="zh-CN"/>
        </w:rPr>
        <w:t>政务诚信履约原则</w:t>
      </w:r>
      <w:r>
        <w:rPr>
          <w:rFonts w:hint="default"/>
          <w:lang w:val="en-US" w:eastAsia="zh-CN"/>
        </w:rPr>
        <w:t>：建立健全政务诚信机制，严肃纠正“新官不理旧账”等失信行为。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b/>
          <w:bCs/>
          <w:lang w:val="en-US" w:eastAsia="zh-CN"/>
        </w:rPr>
        <w:t>知识产权严格保护原则</w:t>
      </w:r>
      <w:r>
        <w:rPr>
          <w:rFonts w:hint="default"/>
          <w:lang w:val="en-US" w:eastAsia="zh-CN"/>
        </w:rPr>
        <w:t>：强化知识产权保护，严厉打击商标恶意注册、非正常专利申请和侵权行为。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b/>
          <w:bCs/>
          <w:lang w:val="en-US" w:eastAsia="zh-CN"/>
        </w:rPr>
        <w:t>行政执法规范原则</w:t>
      </w:r>
      <w:r>
        <w:rPr>
          <w:rFonts w:hint="default"/>
          <w:lang w:val="en-US" w:eastAsia="zh-CN"/>
        </w:rPr>
        <w:t>：建立健全行政裁量权基准制度，防止任性执法、类案不同罚、过度处罚。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b/>
          <w:bCs/>
          <w:lang w:val="en-US" w:eastAsia="zh-CN"/>
        </w:rPr>
        <w:t>行政审批精简原则</w:t>
      </w:r>
      <w:r>
        <w:rPr>
          <w:rFonts w:hint="default"/>
          <w:lang w:val="en-US" w:eastAsia="zh-CN"/>
        </w:rPr>
        <w:t>：大幅精简重复审批，推行“一业一证”改革。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b/>
          <w:bCs/>
          <w:lang w:val="en-US" w:eastAsia="zh-CN"/>
        </w:rPr>
        <w:t>企业退出便捷高效原则</w:t>
      </w:r>
      <w:r>
        <w:rPr>
          <w:rFonts w:hint="default"/>
          <w:lang w:val="en-US" w:eastAsia="zh-CN"/>
        </w:rPr>
        <w:t>：完善市场主体退出机制，全面实施简易注销，建立破产重整信用修复机制。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b/>
          <w:bCs/>
          <w:lang w:val="en-US" w:eastAsia="zh-CN"/>
        </w:rPr>
        <w:t>公平竞争审查原则</w:t>
      </w:r>
      <w:r>
        <w:rPr>
          <w:rFonts w:hint="default"/>
          <w:lang w:val="en-US" w:eastAsia="zh-CN"/>
        </w:rPr>
        <w:t>：清理废除妨碍统一市场和公平竞争的政策文件，禁止设置差别化待遇。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rPr>
          <w:rFonts w:hint="default"/>
          <w:b/>
          <w:bCs/>
          <w:lang w:val="en-US" w:eastAsia="zh-CN"/>
        </w:rPr>
        <w:t>信用监管原则</w:t>
      </w:r>
      <w:r>
        <w:rPr>
          <w:rFonts w:hint="default"/>
          <w:lang w:val="en-US" w:eastAsia="zh-CN"/>
        </w:rPr>
        <w:t>：建立信用承诺制度，实施信用分类监管，完善信用修复机制。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rFonts w:hint="default"/>
          <w:b/>
          <w:bCs/>
          <w:lang w:val="en-US" w:eastAsia="zh-CN"/>
        </w:rPr>
        <w:t>通关便利化原则</w:t>
      </w:r>
      <w:r>
        <w:rPr>
          <w:rFonts w:hint="default"/>
          <w:lang w:val="en-US" w:eastAsia="zh-CN"/>
        </w:rPr>
        <w:t>：推行“提前申报”模式，精简进出口环节监管证件。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default"/>
          <w:b/>
          <w:bCs/>
          <w:lang w:val="en-US" w:eastAsia="zh-CN"/>
        </w:rPr>
        <w:t>不动产登记便利原则</w:t>
      </w:r>
      <w:r>
        <w:rPr>
          <w:rFonts w:hint="default"/>
          <w:lang w:val="en-US" w:eastAsia="zh-CN"/>
        </w:rPr>
        <w:t>：实现不动产登记网上可办，深化“带押过户”改革。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</w:t>
      </w:r>
      <w:r>
        <w:rPr>
          <w:rFonts w:hint="default"/>
          <w:b/>
          <w:bCs/>
          <w:lang w:val="en-US" w:eastAsia="zh-CN"/>
        </w:rPr>
        <w:t>市场主体权益平等保护原则</w:t>
      </w:r>
      <w:r>
        <w:rPr>
          <w:rFonts w:hint="default"/>
          <w:lang w:val="en-US" w:eastAsia="zh-CN"/>
        </w:rPr>
        <w:t>：保障各类市场主体在法律面前的平等地位，严格限制行政强制措施。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【输入】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用户事件描述：[待评估案例]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（可选）相关司法行为</w:t>
      </w:r>
      <w:bookmarkStart w:id="0" w:name="_GoBack"/>
      <w:bookmarkEnd w:id="0"/>
      <w:r>
        <w:rPr>
          <w:rFonts w:hint="eastAsia"/>
          <w:lang w:val="en-US" w:eastAsia="zh-CN"/>
        </w:rPr>
        <w:t>：如判决、扣押、罚款、保全、执行等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意图识别结果（来自提示词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）：包含事件归类、核心争议点等（可选，但建议提供）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动态原则摘要（来自提示词B）：JSON格式的动态原则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【任务】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综合固定原则与动态原则，对用户事件</w:t>
      </w:r>
      <w:r>
        <w:rPr>
          <w:rFonts w:hint="eastAsia"/>
          <w:lang w:val="en-US" w:eastAsia="zh-CN"/>
        </w:rPr>
        <w:t>明确存在或可能存在的司法行为</w:t>
      </w:r>
      <w:r>
        <w:rPr>
          <w:rFonts w:hint="default"/>
          <w:lang w:val="en-US" w:eastAsia="zh-CN"/>
        </w:rPr>
        <w:t>进行</w:t>
      </w:r>
      <w:r>
        <w:rPr>
          <w:rFonts w:hint="eastAsia"/>
          <w:lang w:val="en-US" w:eastAsia="zh-CN"/>
        </w:rPr>
        <w:t>评估，</w:t>
      </w:r>
      <w:r>
        <w:rPr>
          <w:rFonts w:hint="default"/>
          <w:b/>
          <w:bCs/>
          <w:lang w:val="en-US" w:eastAsia="zh-CN"/>
        </w:rPr>
        <w:t>评估司法行为（包括判决、保全、执行、处罚等）是否可能对营商环境造成破坏，并给出风险预警。</w:t>
      </w:r>
      <w:r>
        <w:rPr>
          <w:rFonts w:hint="default"/>
          <w:lang w:val="en-US" w:eastAsia="zh-CN"/>
        </w:rPr>
        <w:t>请按以下步骤分析：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步骤1：原则整合与优先级判断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列出适用的固定原则（与事件最相关的2-3条）。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列出本次归纳的动态原则。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若动态原则与固定原则存在冲突，需根据以下规则处理：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（1）若动态原则来源于更高层级或更权威的文件（如国务院文件优先于地方文件），则优先采纳；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（2）若冲突源于价值张力（如创新 vs 保护），需结合事件情境说明当前政策倾向；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（3）若无法判断，则同时列出两种可能性及其风险。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步骤2：政策一致性分析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将事件与上述整合后的原则逐一对比，识别该司法行为是否存在以下冲突：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1.是否抑制创新？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2.是否模糊法律边界（导致预期不稳）？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3.是否增加制度性交易成本？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4.是否对企业造成不必要经营干扰？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5.是否违反特定原则（如公平竞争、政务诚信等）？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步骤3：预警风险清单与等级判定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1.从以下维度列出该司法行为可能存在的风险：创新抑制风险、投资吸引力风险、预期稳定性风险、制度性成本风险、行业生态风险、其他风险。</w:t>
      </w:r>
    </w:p>
    <w:p>
      <w:pPr>
        <w:numPr>
          <w:ilvl w:val="0"/>
          <w:numId w:val="0"/>
        </w:numPr>
        <w:ind w:leftChars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2.采用因素加权分析法计算该司法行为的预警风险等级（权重表如下），计算总分，给出等级（高/中/低）。</w:t>
      </w:r>
      <w:r>
        <w:rPr>
          <w:rFonts w:hint="eastAsia"/>
          <w:lang w:val="en-US" w:eastAsia="zh-CN"/>
        </w:rPr>
        <w:br w:type="textWrapping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维度</w:t>
            </w:r>
          </w:p>
        </w:tc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低风险(1)</w:t>
            </w:r>
          </w:p>
        </w:tc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中风险(2)</w:t>
            </w:r>
          </w:p>
        </w:tc>
        <w:tc>
          <w:tcPr>
            <w:tcW w:w="17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高风险(3)</w:t>
            </w:r>
          </w:p>
        </w:tc>
        <w:tc>
          <w:tcPr>
            <w:tcW w:w="17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权重</w:t>
            </w:r>
          </w:p>
        </w:tc>
      </w:tr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政策冲突深度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基本一致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存在冲突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根本性冲突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行业影响广度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个案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部分企业担忧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行业标杆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企业脆弱性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大型企业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中型企业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小微企业/初创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主观恶意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首次/无意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偶发过失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重复/恶意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实际损害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无/轻微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中等损失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重大损失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总分 = Σ (得分 × 权重)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低风险：≤10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中风险：11-18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高风险：≥19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各维度评分说明：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（1）政策冲突深度：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评估整合后的原则（固定原则+动态原则）与事件所体现的行政行为或企业行为之间的根本性分歧程度。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低风险（1分）——基本一致。指的是事件中的行为或拟采取的措施与整合后的原则完全吻合，不存在任何矛盾；或者存在微小差异但可通过现有政策精神轻松解释，不构成实质性冲突。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中风险（2分）——存在冲突。指的是事件与部分原则存在明显张力，例如创新导向与严格监管原则之间需要权衡，但尚未达到根本对立的状态；可以通过调整执行方式、引入豁免机制或补充解释来协调。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高风险（3分）——根本性冲突。指的是事件的核心行为直接违背了某一项或多项核心原则（如设置隐性市场准入壁垒、违反政务诚信、严重侵犯知识产权等），且无法通过常规解释或微调来调和，必须进行重大调整或承担法律后果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（2）行业影响广度：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评估事件所涉及的问题可能波及的市场主体范围和行业示范效应。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低风险（1分）——个案。指的是事件仅涉及单一企业或极少数特定主体，问题具有高度特殊性，不会引发行业内其他企业的普遍担忧或效仿。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风险（2分）——部分企业担忧。指的是事件所暴露的问题可能在行业内一定数量的企业中普遍存在（例如同类业务模式、类似规模的企业），可能引发这些企业对自身合规风险的担忧，但尚未形成全行业的标杆性事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高风险（3分）——行业标杆。指的是事件涉及龙头企业、新兴赛道或典型商业模式，其处理结果将成为行业标杆，对全行业的投资预期、经营策略或监管态度产生广泛且深远的影响。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（3）企业脆弱性：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评估涉事主体对政策变化、执法风险的承受能力。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低风险（1分）——大型企业。指的是企业规模大、资源充足、法律团队完备，能够较好地应对政策不确定性、合规整改或行政处罚，抗风险能力强。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中风险（2分）——中型企业。指的是企业有一定规模，但资源有限，政策风险可能对其造成显著经营压力，但尚不至于致命；需要外部支持才能平稳过渡。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高风险（3分）——小微企业/初创。指的是企业规模小、资金链紧张、合规基础薄弱，一次政策打击或执法行动就可能导致业务停滞、融资失败甚至退出市场，对政策环境高度敏感。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（4）主观恶意：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评估企业在事件中的主观过错程度，包括动机、历史行为等。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低风险（1分）——首次/无意。指的是企业初次发生该行为，且无明确证据表明其故意规避监管或损害他人权益；属于对政策理解偏差、技术失误或偶发过失。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中风险（2分）——偶发过失。指的是企业存在一定过错，例如疏忽大意、内部管理漏洞导致违规，但并非系统性、持续性的恶意行为，且无重复记录。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高风险（3分）——重复/恶意。指的是企业存在主观故意，例如明知故犯、恶意钻政策空子、屡查屡犯，或为谋取不正当利益而采取欺骗、伪造等手段。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（5）实际损害：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评估事件已造成或可能造成的负面后果，包括经济损失、社会影响、对营商环境信任的损害等。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低风险（1分）——无/轻微。指的是未造成实际损害，或损害极其轻微（例如仅涉及少量数据、小额合同争议），未影响市场秩序或公众利益。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中风险（2分）——中等损失。指的是造成了一定程度的经济损失、技术成果流失或部分用户权益受损，但尚未形成系统性风险或重大舆情。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风险（3分）——重大损失。指的是造成了严重经济损失（如企业倒闭、投资撤回）、重大知识产权侵权、关键领域技术泄露、严重侵害消费者权益，或引发了广泛的舆论负面评价，损害了区域营商环境的声誉。</w:t>
      </w:r>
      <w:r>
        <w:rPr>
          <w:rFonts w:hint="eastAsia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【输出要求】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结论先行：开篇直接给出总体评价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要点式解析：简略，不展开长篇论述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多行为分解：如有多个司法行为，逐一评估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无行为预判：如无司法行为，预判可能出现的司法行为及其适当性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Chars="0"/>
        <w:textAlignment w:val="auto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【输出格式】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请严格按照以下结构输出：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【一、总体结论】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司法行为整体评价：[恰当/部分恰当/不恰当]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核心依据：[一句话概括关键理由]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【二、司法行为分解评估】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（如无司法行为，则写：本案尚未发生司法行为，以下为预判分析）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行为1：[具体司法行为，如“扣押设备并罚款50万”]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是否恰当：[恰当/不恰当/需预警]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依据：[对照核心原则，要点式说明1-2条]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风险预警：[如不恰当，说明可能对营商环境造成的具体破坏，如“打击创新积极性”“造成行业寒蝉效应”等</w:t>
      </w:r>
      <w:r>
        <w:rPr>
          <w:rFonts w:hint="eastAsia"/>
          <w:lang w:val="en-US" w:eastAsia="zh-CN"/>
        </w:rPr>
        <w:t>；若恰当或者无风险，就不显示这行风险预警</w:t>
      </w:r>
      <w:r>
        <w:rPr>
          <w:rFonts w:hint="default"/>
          <w:lang w:val="en-US" w:eastAsia="zh-CN"/>
        </w:rPr>
        <w:t>]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行为2：[如有多个行为，继续列]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（同上）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【三、风险预警清单】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（列出需要重点关注的风险点，要点式，每条1行）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风险点1：[如“类案不同罚”]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风险点2：[如“处罚力度与企业承受能力不匹配”]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风险点3：[如“审批目录不明导致的执法随意性”]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【四、预警等级】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综合预警等级：[高/中/低]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主导因素：[一句话说明定级关键原因]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【五、改进建议】（如适用）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对司法/执法部门的建议：[要点式，1-2条]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对企业的建议：[要点式，1-2条]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【使用示例】（供参考）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输入案例：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初创人工智能企业研发“无人巡检机器人”，在工业园区试点。当地城管部门以“未经审批”为由，扣押设备并开出50万罚款（企业年营收仅100万）。企业反馈：审批目录无此项，无法办证；执法未经过风险评估，且大型国企同类设备未受罚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预期输出：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【一、总体结论】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司法行为整体评价：</w:t>
      </w:r>
      <w:r>
        <w:rPr>
          <w:rFonts w:hint="default"/>
          <w:lang w:val="en-US" w:eastAsia="zh-CN"/>
        </w:rPr>
        <w:t>不恰当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b/>
          <w:bCs/>
          <w:lang w:val="en-US" w:eastAsia="zh-CN"/>
        </w:rPr>
        <w:t>核心依据：</w:t>
      </w:r>
      <w:r>
        <w:rPr>
          <w:rFonts w:hint="default"/>
          <w:lang w:val="en-US" w:eastAsia="zh-CN"/>
        </w:rPr>
        <w:t>处罚违背比例原则和市场平等保护原则，且存在选择性执法嫌疑，可能严重打击初创企业创新积极性。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【二、司法行为分解评估】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行为：</w:t>
      </w:r>
      <w:r>
        <w:rPr>
          <w:rFonts w:hint="default"/>
          <w:lang w:val="en-US" w:eastAsia="zh-CN"/>
        </w:rPr>
        <w:t>扣押设备并罚款50万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是否恰当：</w:t>
      </w:r>
      <w:r>
        <w:rPr>
          <w:rFonts w:hint="default"/>
          <w:lang w:val="en-US" w:eastAsia="zh-CN"/>
        </w:rPr>
        <w:t>不恰当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依据：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违反比例原则：</w:t>
      </w:r>
      <w:r>
        <w:rPr>
          <w:rFonts w:hint="default"/>
          <w:lang w:val="en-US" w:eastAsia="zh-CN"/>
        </w:rPr>
        <w:t>罚款金额占年营收50%，远超企业承受能力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违反平等保护：</w:t>
      </w:r>
      <w:r>
        <w:rPr>
          <w:rFonts w:hint="default"/>
          <w:lang w:val="en-US" w:eastAsia="zh-CN"/>
        </w:rPr>
        <w:t>国企同类设备未受罚，存在选择性执法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违反预期稳定性：</w:t>
      </w:r>
      <w:r>
        <w:rPr>
          <w:rFonts w:hint="default"/>
          <w:lang w:val="en-US" w:eastAsia="zh-CN"/>
        </w:rPr>
        <w:t>审批目录无此项，企业无法预见该行为需审批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风险预警：</w:t>
      </w:r>
      <w:r>
        <w:rPr>
          <w:rFonts w:hint="default"/>
          <w:lang w:val="en-US" w:eastAsia="zh-CN"/>
        </w:rPr>
        <w:t>可能扼杀一家创新企业，并对同类人工智能初创企业形成寒蝉效应，损害区域创新生态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【三、风险预警清单】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选择性执法风险：</w:t>
      </w:r>
      <w:r>
        <w:rPr>
          <w:rFonts w:hint="default"/>
          <w:lang w:val="en-US" w:eastAsia="zh-CN"/>
        </w:rPr>
        <w:t>国企与民企差别对待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过度处罚风险：</w:t>
      </w:r>
      <w:r>
        <w:rPr>
          <w:rFonts w:hint="default"/>
          <w:lang w:val="en-US" w:eastAsia="zh-CN"/>
        </w:rPr>
        <w:t>罚款额度与企业规模严重不匹配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规则不明确风险：</w:t>
      </w:r>
      <w:r>
        <w:rPr>
          <w:rFonts w:hint="default"/>
          <w:lang w:val="en-US" w:eastAsia="zh-CN"/>
        </w:rPr>
        <w:t>审批目录缺失导致企业无法合规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【四、预警等级】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综合预警等级：</w:t>
      </w:r>
      <w:r>
        <w:rPr>
          <w:rFonts w:hint="default"/>
          <w:lang w:val="en-US" w:eastAsia="zh-CN"/>
        </w:rPr>
        <w:t>高风险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主导因素：</w:t>
      </w:r>
      <w:r>
        <w:rPr>
          <w:rFonts w:hint="default"/>
          <w:lang w:val="en-US" w:eastAsia="zh-CN"/>
        </w:rPr>
        <w:t>处罚可能导致企业直接退出市场，且对整个人工智能初创领域投资信心造成冲击。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【五、改进建议】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对执法部门：</w:t>
      </w:r>
      <w:r>
        <w:rPr>
          <w:rFonts w:hint="default"/>
          <w:lang w:val="en-US" w:eastAsia="zh-CN"/>
        </w:rPr>
        <w:t>建立涉企处罚风险评估机制，对初创企业设置梯度处罚标准；明确审批目录，无明文规定的不应处罚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对企业：</w:t>
      </w:r>
      <w:r>
        <w:rPr>
          <w:rFonts w:hint="default"/>
          <w:lang w:val="en-US" w:eastAsia="zh-CN"/>
        </w:rPr>
        <w:t>主动与主管部门沟通，争取纳入试点清单或申请政策豁免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【无司法行为示例】（供参考）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输入案例：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某初创企业研发AI心理辅导机器人，上线测试，尚未被处罚，但担心卫健委可能介入。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预期输出：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【一、总体结论】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司法行为整体评价</w:t>
      </w:r>
      <w:r>
        <w:rPr>
          <w:rFonts w:hint="default"/>
          <w:lang w:val="en-US" w:eastAsia="zh-CN"/>
        </w:rPr>
        <w:t>：尚未发生司法行为，以下为预判分析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【二、司法行为分解评估】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本案尚未发生司法行为，以下为预判分析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可能发生的司法行为</w:t>
      </w:r>
      <w:r>
        <w:rPr>
          <w:rFonts w:hint="default"/>
          <w:lang w:val="en-US" w:eastAsia="zh-CN"/>
        </w:rPr>
        <w:t>：卫健委以“非法行医”为由责令下架并罚款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是否恰当：</w:t>
      </w:r>
      <w:r>
        <w:rPr>
          <w:rFonts w:hint="default"/>
          <w:lang w:val="en-US" w:eastAsia="zh-CN"/>
        </w:rPr>
        <w:t>需预警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依据：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企业已标注“非医疗建议”，主观无恶意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若一刀切禁止，可能抑制心理健康服务创新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应有明确界定标准，区分“医疗行为”与“情感陪伴”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风险预警：</w:t>
      </w:r>
      <w:r>
        <w:rPr>
          <w:rFonts w:hint="default"/>
          <w:lang w:val="en-US" w:eastAsia="zh-CN"/>
        </w:rPr>
        <w:t>过度监管可能扼杀新兴AI+心理健康赛道，影响社会资本投入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适当的司法行为应具备的特征：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区分医疗与非医疗场景，制定明确规则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首次违规以整改为主，避免直接高额罚款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给予新兴业态合理观察期和容错空间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【三、风险预警清单】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规则空白风险：</w:t>
      </w:r>
      <w:r>
        <w:rPr>
          <w:rFonts w:hint="default"/>
          <w:lang w:val="en-US" w:eastAsia="zh-CN"/>
        </w:rPr>
        <w:t>无明确标准导致执法随意性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创新抑制风险：</w:t>
      </w:r>
      <w:r>
        <w:rPr>
          <w:rFonts w:hint="default"/>
          <w:lang w:val="en-US" w:eastAsia="zh-CN"/>
        </w:rPr>
        <w:t>一刀切监管可能扼杀新业态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【四、预警等级】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综合预警等级：</w:t>
      </w:r>
      <w:r>
        <w:rPr>
          <w:rFonts w:hint="default"/>
          <w:lang w:val="en-US" w:eastAsia="zh-CN"/>
        </w:rPr>
        <w:t>中风险（取决于未来监管方式）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主导因素：</w:t>
      </w:r>
      <w:r>
        <w:rPr>
          <w:rFonts w:hint="default"/>
          <w:lang w:val="en-US" w:eastAsia="zh-CN"/>
        </w:rPr>
        <w:t>若采取包容审慎监管，风险可控；若采取严厉处罚，风险将升级为高。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【五、改进建议】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对监管部门：</w:t>
      </w:r>
      <w:r>
        <w:rPr>
          <w:rFonts w:hint="default"/>
          <w:lang w:val="en-US" w:eastAsia="zh-CN"/>
        </w:rPr>
        <w:t>尽快出台AI心理服务的边界指引，明确“红线”和“容错区”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对企业：</w:t>
      </w:r>
      <w:r>
        <w:rPr>
          <w:rFonts w:hint="default"/>
          <w:lang w:val="en-US" w:eastAsia="zh-CN"/>
        </w:rPr>
        <w:t>主动与卫健委沟通，争取纳入监管试点，证明产品的安全性和社会价值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B3D2C"/>
    <w:multiLevelType w:val="singleLevel"/>
    <w:tmpl w:val="9F7B3D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7CBD3DC"/>
    <w:multiLevelType w:val="singleLevel"/>
    <w:tmpl w:val="B7CBD3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EEAF898"/>
    <w:multiLevelType w:val="singleLevel"/>
    <w:tmpl w:val="FEEAF8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9B606C4"/>
    <w:multiLevelType w:val="singleLevel"/>
    <w:tmpl w:val="79B606C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DA1E9"/>
    <w:rsid w:val="648740DF"/>
    <w:rsid w:val="F7EA2593"/>
    <w:rsid w:val="FB8E008B"/>
    <w:rsid w:val="FE3FB4E4"/>
    <w:rsid w:val="FEFDA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23</TotalTime>
  <ScaleCrop>false</ScaleCrop>
  <LinksUpToDate>false</LinksUpToDate>
  <CharactersWithSpaces>0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2026-03-12T15:43:00Z</dcterms:created>
  <dc:creator>诸葛蓓蓓</dc:creator>
  <cp:lastModifiedBy>诸葛蓓蓓</cp:lastModifiedBy>
  <dcterms:modified xsi:type="dcterms:W3CDTF">2026-03-17T21:59:10Z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966FD22B73E7757A281DB169A37BAE40_41</vt:lpwstr>
  </property>
</Properties>
</file>