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4"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087937"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91639B" w:rsidRDefault="006D4738" w:rsidP="009C4857">
      <w:pPr>
        <w:spacing w:after="0" w:line="276" w:lineRule="auto"/>
        <w:jc w:val="both"/>
        <w:rPr>
          <w:b/>
        </w:rPr>
      </w:pPr>
    </w:p>
    <w:p w:rsidR="006D4738" w:rsidRPr="006D4738" w:rsidRDefault="006D4738" w:rsidP="006D4738">
      <w:pPr>
        <w:jc w:val="both"/>
      </w:pPr>
      <w:r w:rsidRPr="006D4738">
        <w:t>Table 1 and Table 2 show the return characteristics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ROIC</w:t>
            </w:r>
          </w:p>
          <w:p w:rsidR="006D4738" w:rsidRPr="006D4738" w:rsidRDefault="006D4738" w:rsidP="005C2133">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ROCE</w:t>
            </w:r>
          </w:p>
          <w:p w:rsidR="006D4738" w:rsidRPr="006D4738" w:rsidRDefault="006D4738" w:rsidP="005C2133">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5C2133">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0.7497%</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ROIC</w:t>
            </w:r>
          </w:p>
          <w:p w:rsidR="006D4738" w:rsidRPr="006D4738" w:rsidRDefault="006D4738" w:rsidP="005C2133">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1.4557%</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ROCE</w:t>
            </w:r>
          </w:p>
          <w:p w:rsidR="006D4738" w:rsidRPr="006D4738" w:rsidRDefault="006D4738" w:rsidP="005C2133">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1.0342%</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0.9377%</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0.9318%</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0.9442%</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0.8931%</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0.9172%</w:t>
            </w:r>
          </w:p>
        </w:tc>
        <w:tc>
          <w:tcPr>
            <w:tcW w:w="794" w:type="dxa"/>
            <w:tcBorders>
              <w:bottom w:val="double" w:sz="4" w:space="0" w:color="A5A5A5" w:themeColor="accent3"/>
            </w:tcBorders>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5C2133">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0.9829%</w:t>
            </w:r>
          </w:p>
        </w:tc>
        <w:tc>
          <w:tcPr>
            <w:tcW w:w="794" w:type="dxa"/>
            <w:tcBorders>
              <w:top w:val="double" w:sz="4" w:space="0" w:color="A5A5A5" w:themeColor="accent3"/>
            </w:tcBorders>
            <w:noWrap/>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bookmarkStart w:id="0" w:name="_GoBack"/>
      <w:bookmarkEnd w:id="0"/>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Pr="00087937" w:rsidRDefault="00087937" w:rsidP="00087937">
      <w:pPr>
        <w:rPr>
          <w:rFonts w:cstheme="minorHAnsi"/>
          <w:sz w:val="18"/>
          <w:szCs w:val="18"/>
        </w:rPr>
      </w:pPr>
    </w:p>
    <w:p w:rsidR="007320CC" w:rsidRDefault="007320CC" w:rsidP="009C4857">
      <w:pPr>
        <w:spacing w:after="0" w:line="276" w:lineRule="auto"/>
        <w:jc w:val="both"/>
        <w:rPr>
          <w:b/>
        </w:rPr>
      </w:pPr>
    </w:p>
    <w:p w:rsidR="006D4738" w:rsidRPr="0091639B" w:rsidRDefault="006D4738"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E3821"/>
    <w:rsid w:val="001447F2"/>
    <w:rsid w:val="001B23BF"/>
    <w:rsid w:val="00202F25"/>
    <w:rsid w:val="002646C9"/>
    <w:rsid w:val="003C5BB2"/>
    <w:rsid w:val="004134BA"/>
    <w:rsid w:val="00425F23"/>
    <w:rsid w:val="00463061"/>
    <w:rsid w:val="00500A17"/>
    <w:rsid w:val="005643A8"/>
    <w:rsid w:val="005925DE"/>
    <w:rsid w:val="005A7547"/>
    <w:rsid w:val="006A2DFF"/>
    <w:rsid w:val="006A7FE1"/>
    <w:rsid w:val="006C4A7E"/>
    <w:rsid w:val="006D4738"/>
    <w:rsid w:val="0071111D"/>
    <w:rsid w:val="007320CC"/>
    <w:rsid w:val="0076354C"/>
    <w:rsid w:val="00792897"/>
    <w:rsid w:val="008B3AE9"/>
    <w:rsid w:val="0091639B"/>
    <w:rsid w:val="00937F9D"/>
    <w:rsid w:val="009C4857"/>
    <w:rsid w:val="009D4652"/>
    <w:rsid w:val="00A403AC"/>
    <w:rsid w:val="00B46903"/>
    <w:rsid w:val="00B74845"/>
    <w:rsid w:val="00C82D10"/>
    <w:rsid w:val="00D11A5B"/>
    <w:rsid w:val="00D27F1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FAE1"/>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lobalfinancialdata.com/GFD/Article/a-brief-history-of-the-dow-jones-utility-averag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26</cp:revision>
  <dcterms:created xsi:type="dcterms:W3CDTF">2019-04-28T06:16:00Z</dcterms:created>
  <dcterms:modified xsi:type="dcterms:W3CDTF">2019-04-28T08:59:00Z</dcterms:modified>
</cp:coreProperties>
</file>