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EB6FD7" w:rsidRPr="00EB6FD7" w:rsidRDefault="00EB6FD7" w:rsidP="00EB6FD7">
      <w:pPr>
        <w:spacing w:after="0" w:line="276" w:lineRule="auto"/>
        <w:jc w:val="both"/>
      </w:pPr>
      <w:r w:rsidRPr="00EB6FD7">
        <w:t xml:space="preserve">The Dow Jones Utility Average (DJUA), started back in 1929, is one of the Dow Jones index groups that tracks the performance of a small group of 15 utility stocks traded in the United States by using </w:t>
      </w:r>
      <w:r>
        <w:t>a</w:t>
      </w:r>
      <w:r w:rsidRPr="00EB6FD7">
        <w:t xml:space="preserve"> price-weighted average method. These companies predominately are producers of utility resources such as electricity and natural gas. </w:t>
      </w:r>
      <w:r>
        <w:t>In addition</w:t>
      </w:r>
      <w:r w:rsidRPr="00EB6FD7">
        <w:t xml:space="preserve">, these utility companies </w:t>
      </w:r>
      <w:r>
        <w:t xml:space="preserve">typically </w:t>
      </w:r>
      <w:r w:rsidRPr="00EB6FD7">
        <w:t>have sizable and steady stream of dividends pay</w:t>
      </w:r>
      <w:r>
        <w:t>-</w:t>
      </w:r>
      <w:r w:rsidRPr="00EB6FD7">
        <w:t xml:space="preserve">out than other sectors as they face less uncertainty and minimal future volatility due to nature </w:t>
      </w:r>
      <w:r>
        <w:t xml:space="preserve">of the utility </w:t>
      </w:r>
      <w:r w:rsidRPr="00EB6FD7">
        <w:t>industry. This</w:t>
      </w:r>
      <w:r>
        <w:t xml:space="preserve"> therefore</w:t>
      </w:r>
      <w:r w:rsidRPr="00EB6FD7">
        <w:t xml:space="preserve"> results in utility sector to </w:t>
      </w:r>
      <w:proofErr w:type="gramStart"/>
      <w:r w:rsidRPr="00EB6FD7">
        <w:t>be</w:t>
      </w:r>
      <w:r>
        <w:t xml:space="preserve"> seen as</w:t>
      </w:r>
      <w:proofErr w:type="gramEnd"/>
      <w:r w:rsidRPr="00EB6FD7">
        <w:t xml:space="preserve"> a favourite for retirees and other income investors.</w:t>
      </w:r>
    </w:p>
    <w:p w:rsidR="00EB6FD7" w:rsidRPr="00EB6FD7" w:rsidRDefault="00EB6FD7" w:rsidP="00EB6FD7">
      <w:pPr>
        <w:spacing w:after="0" w:line="276" w:lineRule="auto"/>
        <w:jc w:val="both"/>
      </w:pPr>
    </w:p>
    <w:p w:rsidR="00EB6FD7" w:rsidRPr="00EB6FD7" w:rsidRDefault="00EB6FD7" w:rsidP="00EB6FD7">
      <w:pPr>
        <w:spacing w:after="0" w:line="276" w:lineRule="auto"/>
        <w:jc w:val="both"/>
      </w:pPr>
      <w:r w:rsidRPr="00EB6FD7">
        <w:t xml:space="preserve">In hope to construct a much superior index that outperforms the original DJUA price-weighted one, our team decided to construct a smart-beta index by analysing several </w:t>
      </w:r>
      <w:r>
        <w:t xml:space="preserve">key </w:t>
      </w:r>
      <w:r w:rsidRPr="00EB6FD7">
        <w:t xml:space="preserve">fundamental factors of the individual companies to sieve out the most optimal one. This factor would then be used as the smart-beta factor for the formation of a smart-beta index.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7" w:history="1">
        <w:r w:rsidR="0071111D" w:rsidRPr="0071111D">
          <w:rPr>
            <w:rStyle w:val="a3"/>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1247" w:type="dxa"/>
            <w:vAlign w:val="center"/>
          </w:tcPr>
          <w:p w:rsidR="00463061" w:rsidRPr="002646C9" w:rsidRDefault="00A62C89"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AA4F69"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 xml:space="preserve">To put things into perspective, the value of $1 invested in our constructed ROIC-based total return smart beta portfolio at Jun 1988 would be worth $197.10 at the end of 2018 (excluding transaction costs), while an identical $1 invested in the benchmark total return index over the same </w:t>
      </w:r>
      <w:proofErr w:type="gramStart"/>
      <w:r>
        <w:t>time period</w:t>
      </w:r>
      <w:proofErr w:type="gramEnd"/>
      <w:r>
        <w:t xml:space="preserve">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proofErr w:type="gramStart"/>
      <w:r>
        <w:lastRenderedPageBreak/>
        <w:t>All of</w:t>
      </w:r>
      <w:proofErr w:type="gramEnd"/>
      <w:r>
        <w:t xml:space="preserve">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Section 3.1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 xml:space="preserve">Of </w:t>
      </w:r>
      <w:proofErr w:type="gramStart"/>
      <w:r w:rsidRPr="006D4738">
        <w:t>particular note</w:t>
      </w:r>
      <w:proofErr w:type="gramEnd"/>
      <w:r w:rsidRPr="006D4738">
        <w:t xml:space="preserv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w:t>
      </w:r>
      <w:proofErr w:type="gramStart"/>
      <w:r w:rsidRPr="006D4738">
        <w:t>due to the fact that</w:t>
      </w:r>
      <w:proofErr w:type="gramEnd"/>
      <w:r w:rsidRPr="006D4738">
        <w:t xml:space="preserve">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a8"/>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a8"/>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a8"/>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a8"/>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Section 3.2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681D63">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5"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lastRenderedPageBreak/>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681D63">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4: </w:t>
      </w:r>
      <w:r w:rsidR="007320CC" w:rsidRPr="0091639B">
        <w:rPr>
          <w:b/>
        </w:rPr>
        <w:t>Autocorrelation of Fundamentals</w:t>
      </w:r>
    </w:p>
    <w:p w:rsidR="00F11C8B" w:rsidRDefault="00F11C8B" w:rsidP="00AA4F69">
      <w:pPr>
        <w:spacing w:after="0" w:line="276" w:lineRule="auto"/>
        <w:jc w:val="both"/>
        <w:rPr>
          <w:b/>
        </w:rPr>
      </w:pPr>
      <w:r>
        <w:rPr>
          <w:b/>
        </w:rPr>
        <w:t xml:space="preserve">Section 5: </w:t>
      </w:r>
      <w:r w:rsidRPr="0091639B">
        <w:rPr>
          <w:b/>
        </w:rPr>
        <w:t>Further Regression Studies</w:t>
      </w:r>
    </w:p>
    <w:p w:rsidR="00F11C8B" w:rsidRDefault="00F11C8B" w:rsidP="00AA4F69">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proofErr w:type="gramStart"/>
      <w:r>
        <w:rPr>
          <w:b/>
        </w:rPr>
        <w:t>So</w:t>
      </w:r>
      <w:proofErr w:type="gramEnd"/>
      <w:r>
        <w:rPr>
          <w:b/>
        </w:rPr>
        <w:t xml:space="preserve"> we first observe the result for regression between Return vs Market Cap, we can definitely get 0 beta outcome. </w:t>
      </w:r>
      <w:proofErr w:type="gramStart"/>
      <w:r>
        <w:rPr>
          <w:b/>
        </w:rPr>
        <w:t>So</w:t>
      </w:r>
      <w:proofErr w:type="gramEnd"/>
      <w:r>
        <w:rPr>
          <w:b/>
        </w:rPr>
        <w:t xml:space="preserve"> using this as a benchmark, any negative beta can be </w:t>
      </w:r>
      <w:r w:rsidR="00171A54">
        <w:rPr>
          <w:b/>
        </w:rPr>
        <w:t xml:space="preserve">translated as this factor are generating negative effect on return for this certain company, on the opposite, a factor with positive beta can be seen as a return generator. </w:t>
      </w:r>
    </w:p>
    <w:p w:rsidR="00171A54" w:rsidRDefault="00171A54" w:rsidP="00AA4F69">
      <w:pPr>
        <w:spacing w:after="0" w:line="276" w:lineRule="auto"/>
        <w:jc w:val="both"/>
        <w:rPr>
          <w:b/>
        </w:rPr>
      </w:pPr>
    </w:p>
    <w:p w:rsidR="00B85642" w:rsidRDefault="00171A54" w:rsidP="007731E0">
      <w:pPr>
        <w:spacing w:after="0" w:line="276" w:lineRule="auto"/>
        <w:jc w:val="both"/>
        <w:rPr>
          <w:b/>
        </w:rPr>
      </w:pPr>
      <w:r>
        <w:rPr>
          <w:b/>
        </w:rPr>
        <w:t xml:space="preserve">Consisting with the former part of the report, when we refers to ROIC-weighted </w:t>
      </w:r>
      <w:proofErr w:type="gramStart"/>
      <w:r>
        <w:rPr>
          <w:b/>
        </w:rPr>
        <w:t xml:space="preserve">index, </w:t>
      </w:r>
      <w:r w:rsidR="007731E0">
        <w:rPr>
          <w:b/>
        </w:rPr>
        <w:t xml:space="preserve"> we</w:t>
      </w:r>
      <w:proofErr w:type="gramEnd"/>
      <w:r w:rsidR="007731E0">
        <w:rPr>
          <w:b/>
        </w:rPr>
        <w:t xml:space="preserv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rFonts w:hint="eastAsia"/>
          <w:b/>
        </w:rPr>
      </w:pPr>
      <w:bookmarkStart w:id="0" w:name="_GoBack"/>
      <w:bookmarkEnd w:id="0"/>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rFonts w:hint="eastAsia"/>
          <w:b/>
        </w:rPr>
      </w:pPr>
      <w:r>
        <w:rPr>
          <w:noProof/>
        </w:rPr>
        <w:lastRenderedPageBreak/>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rFonts w:hint="eastAsia"/>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3030"/>
                    </a:xfrm>
                    <a:prstGeom prst="rect">
                      <a:avLst/>
                    </a:prstGeom>
                  </pic:spPr>
                </pic:pic>
              </a:graphicData>
            </a:graphic>
          </wp:inline>
        </w:drawing>
      </w:r>
    </w:p>
    <w:p w:rsidR="00AA4F69" w:rsidRDefault="00B85642">
      <w:pPr>
        <w:rPr>
          <w:rFonts w:hint="eastAsia"/>
          <w:b/>
        </w:rPr>
      </w:pPr>
      <w:r>
        <w:rPr>
          <w:noProof/>
        </w:rPr>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rFonts w:hint="eastAsia"/>
          <w:b/>
          <w:lang w:val="en-US"/>
        </w:rPr>
      </w:pPr>
      <w:r>
        <w:rPr>
          <w:b/>
        </w:rPr>
        <w:lastRenderedPageBreak/>
        <w:t>Next, we run the DW test for the regression residuals:</w:t>
      </w:r>
      <w:r w:rsidR="00B24836">
        <w:rPr>
          <w:b/>
        </w:rPr>
        <w:t xml:space="preserve"> </w:t>
      </w:r>
    </w:p>
    <w:p w:rsidR="007B63A7" w:rsidRPr="007B63A7" w:rsidRDefault="007B63A7" w:rsidP="007B63A7">
      <w:pPr>
        <w:spacing w:line="240" w:lineRule="auto"/>
        <w:rPr>
          <w:rFonts w:hint="eastAsia"/>
          <w:b/>
        </w:rPr>
      </w:pPr>
      <w:r w:rsidRPr="007B63A7">
        <w:rPr>
          <w:b/>
        </w:rPr>
        <w:t>The Durbin-Watson test statistic tests the null hypothesis that the residuals from an</w:t>
      </w:r>
      <w:r>
        <w:rPr>
          <w:rFonts w:hint="eastAsia"/>
          <w:b/>
        </w:rPr>
        <w:t xml:space="preserve"> </w:t>
      </w:r>
      <w:r w:rsidRPr="007B63A7">
        <w:rPr>
          <w:b/>
        </w:rPr>
        <w:t>ordinary least-squares regression are not autocorrelated against the alternative that the</w:t>
      </w:r>
      <w:r>
        <w:rPr>
          <w:rFonts w:hint="eastAsia"/>
          <w:b/>
        </w:rPr>
        <w:t xml:space="preserve"> </w:t>
      </w:r>
      <w:r w:rsidRPr="007B63A7">
        <w:rPr>
          <w:b/>
        </w:rPr>
        <w:t xml:space="preserve">residuals follow an </w:t>
      </w:r>
      <w:proofErr w:type="gramStart"/>
      <w:r w:rsidRPr="007B63A7">
        <w:rPr>
          <w:b/>
        </w:rPr>
        <w:t>AR</w:t>
      </w:r>
      <w:r w:rsidR="000C7DD8">
        <w:rPr>
          <w:b/>
        </w:rPr>
        <w:t>(</w:t>
      </w:r>
      <w:proofErr w:type="gramEnd"/>
      <w:r w:rsidR="000C7DD8">
        <w:rPr>
          <w:b/>
        </w:rPr>
        <w:t>1)</w:t>
      </w:r>
      <w:r w:rsidRPr="007B63A7">
        <w:rPr>
          <w:b/>
        </w:rPr>
        <w:t xml:space="preserve"> process. The Durbin-Watson statistic ranges in value from 0</w:t>
      </w:r>
      <w:r>
        <w:rPr>
          <w:rFonts w:hint="eastAsia"/>
          <w:b/>
        </w:rPr>
        <w:t xml:space="preserve"> </w:t>
      </w:r>
      <w:r w:rsidRPr="007B63A7">
        <w:rPr>
          <w:b/>
        </w:rPr>
        <w:t>to 4. A value near 2 indicates non-autocorrelation; a value toward 0 indicates positive</w:t>
      </w:r>
      <w:r w:rsidR="000C7DD8">
        <w:rPr>
          <w:b/>
        </w:rPr>
        <w:t xml:space="preserve"> </w:t>
      </w:r>
      <w:r w:rsidRPr="007B63A7">
        <w:rPr>
          <w:b/>
        </w:rPr>
        <w:t>autocorrelation; a value toward 4 indicates negative autocorrelation.</w:t>
      </w:r>
      <w:r>
        <w:rPr>
          <w:b/>
        </w:rPr>
        <w:t xml:space="preserve"> </w:t>
      </w:r>
      <w:proofErr w:type="gramStart"/>
      <w:r>
        <w:rPr>
          <w:rFonts w:hint="eastAsia"/>
          <w:b/>
        </w:rPr>
        <w:t>So</w:t>
      </w:r>
      <w:proofErr w:type="gramEnd"/>
      <w:r>
        <w:rPr>
          <w:b/>
        </w:rPr>
        <w:t xml:space="preserve"> </w:t>
      </w:r>
      <w:r>
        <w:rPr>
          <w:rFonts w:hint="eastAsia"/>
          <w:b/>
        </w:rPr>
        <w:t>the</w:t>
      </w:r>
      <w:r>
        <w:rPr>
          <w:b/>
        </w:rPr>
        <w:t xml:space="preserve"> DW test results for Price Return vs Fundamental factors and Total Return vs Fundamental factors are listed below.  The </w:t>
      </w:r>
      <w:r>
        <w:rPr>
          <w:b/>
        </w:rPr>
        <w:t>green</w:t>
      </w:r>
      <w:r>
        <w:rPr>
          <w:b/>
        </w:rPr>
        <w:t xml:space="preserve"> cells represent</w:t>
      </w:r>
      <w:r>
        <w:rPr>
          <w:b/>
        </w:rPr>
        <w:t xml:space="preserve"> for positive autocorrelation</w:t>
      </w:r>
      <w:r>
        <w:rPr>
          <w:b/>
        </w:rPr>
        <w:t xml:space="preserve"> and</w:t>
      </w:r>
      <w:r>
        <w:rPr>
          <w:b/>
        </w:rPr>
        <w:t xml:space="preserve"> red for negative autocorrelation</w:t>
      </w:r>
      <w:r>
        <w:rPr>
          <w:b/>
        </w:rPr>
        <w:t>.</w:t>
      </w:r>
    </w:p>
    <w:p w:rsidR="00B24836" w:rsidRDefault="00B24836" w:rsidP="00B24836">
      <w:pPr>
        <w:spacing w:after="0" w:line="276" w:lineRule="auto"/>
        <w:jc w:val="center"/>
        <w:rPr>
          <w:b/>
        </w:rPr>
      </w:pPr>
      <w:r>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B24836" w:rsidRDefault="007B63A7">
      <w:pPr>
        <w:rPr>
          <w:rFonts w:hint="eastAsia"/>
          <w:b/>
        </w:rPr>
      </w:pPr>
      <w:r>
        <w:rPr>
          <w:b/>
        </w:rPr>
        <w:t xml:space="preserve">Based on the comparison of DW statistics vs </w:t>
      </w:r>
      <w:r w:rsidR="00DF77BA">
        <w:rPr>
          <w:b/>
        </w:rPr>
        <w:t>Critical value, we can see</w:t>
      </w:r>
      <w:r w:rsidR="000C7DD8">
        <w:rPr>
          <w:b/>
        </w:rPr>
        <w:t xml:space="preserve"> that</w:t>
      </w:r>
      <w:r w:rsidR="00DF77BA">
        <w:rPr>
          <w:b/>
        </w:rPr>
        <w:t xml:space="preserve"> most of the regression residuals don’t have positive or positive autocorrelation property. </w:t>
      </w:r>
      <w:r w:rsidR="000C7DD8">
        <w:rPr>
          <w:b/>
        </w:rPr>
        <w:t xml:space="preserve"> </w:t>
      </w:r>
      <w:proofErr w:type="gramStart"/>
      <w:r w:rsidR="000C7DD8">
        <w:rPr>
          <w:b/>
        </w:rPr>
        <w:t>So</w:t>
      </w:r>
      <w:proofErr w:type="gramEnd"/>
      <w:r w:rsidR="000C7DD8">
        <w:rPr>
          <w:b/>
        </w:rPr>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rFonts w:hint="eastAsia"/>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89E" w:rsidRDefault="0089389E" w:rsidP="00AA4F69">
      <w:pPr>
        <w:spacing w:after="0" w:line="240" w:lineRule="auto"/>
      </w:pPr>
      <w:r>
        <w:separator/>
      </w:r>
    </w:p>
  </w:endnote>
  <w:endnote w:type="continuationSeparator" w:id="0">
    <w:p w:rsidR="0089389E" w:rsidRDefault="0089389E"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89E" w:rsidRDefault="0089389E" w:rsidP="00AA4F69">
      <w:pPr>
        <w:spacing w:after="0" w:line="240" w:lineRule="auto"/>
      </w:pPr>
      <w:r>
        <w:separator/>
      </w:r>
    </w:p>
  </w:footnote>
  <w:footnote w:type="continuationSeparator" w:id="0">
    <w:p w:rsidR="0089389E" w:rsidRDefault="0089389E" w:rsidP="00AA4F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A3677"/>
    <w:rsid w:val="001B23BF"/>
    <w:rsid w:val="00202F25"/>
    <w:rsid w:val="002646C9"/>
    <w:rsid w:val="00372A2A"/>
    <w:rsid w:val="003C5BB2"/>
    <w:rsid w:val="004134BA"/>
    <w:rsid w:val="00425F23"/>
    <w:rsid w:val="00463061"/>
    <w:rsid w:val="004B21D4"/>
    <w:rsid w:val="00500A17"/>
    <w:rsid w:val="005643A8"/>
    <w:rsid w:val="005925DE"/>
    <w:rsid w:val="005A7547"/>
    <w:rsid w:val="005E63AA"/>
    <w:rsid w:val="006630D9"/>
    <w:rsid w:val="00681D63"/>
    <w:rsid w:val="006A2DFF"/>
    <w:rsid w:val="006A7FE1"/>
    <w:rsid w:val="006C4A7E"/>
    <w:rsid w:val="006D4738"/>
    <w:rsid w:val="0071111D"/>
    <w:rsid w:val="007320CC"/>
    <w:rsid w:val="0076354C"/>
    <w:rsid w:val="007731E0"/>
    <w:rsid w:val="00792897"/>
    <w:rsid w:val="007B63A7"/>
    <w:rsid w:val="00880DBD"/>
    <w:rsid w:val="0089389E"/>
    <w:rsid w:val="008B3AE9"/>
    <w:rsid w:val="0091639B"/>
    <w:rsid w:val="00937F9D"/>
    <w:rsid w:val="009C4857"/>
    <w:rsid w:val="009D4652"/>
    <w:rsid w:val="00A403AC"/>
    <w:rsid w:val="00A62C89"/>
    <w:rsid w:val="00AA4F69"/>
    <w:rsid w:val="00B24836"/>
    <w:rsid w:val="00B46903"/>
    <w:rsid w:val="00B74845"/>
    <w:rsid w:val="00B85642"/>
    <w:rsid w:val="00C82D10"/>
    <w:rsid w:val="00D11A5B"/>
    <w:rsid w:val="00D27F18"/>
    <w:rsid w:val="00D46AE8"/>
    <w:rsid w:val="00DF77BA"/>
    <w:rsid w:val="00E5506A"/>
    <w:rsid w:val="00E6267C"/>
    <w:rsid w:val="00E827D0"/>
    <w:rsid w:val="00EB6FD7"/>
    <w:rsid w:val="00F11C8B"/>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C01E"/>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111D"/>
    <w:rPr>
      <w:color w:val="0563C1" w:themeColor="hyperlink"/>
      <w:u w:val="single"/>
    </w:rPr>
  </w:style>
  <w:style w:type="character" w:styleId="a4">
    <w:name w:val="Unresolved Mention"/>
    <w:basedOn w:val="a0"/>
    <w:uiPriority w:val="99"/>
    <w:semiHidden/>
    <w:unhideWhenUsed/>
    <w:rsid w:val="0071111D"/>
    <w:rPr>
      <w:color w:val="605E5C"/>
      <w:shd w:val="clear" w:color="auto" w:fill="E1DFDD"/>
    </w:rPr>
  </w:style>
  <w:style w:type="character" w:styleId="a5">
    <w:name w:val="Placeholder Text"/>
    <w:basedOn w:val="a0"/>
    <w:uiPriority w:val="99"/>
    <w:semiHidden/>
    <w:rsid w:val="00D11A5B"/>
    <w:rPr>
      <w:color w:val="808080"/>
    </w:rPr>
  </w:style>
  <w:style w:type="paragraph" w:styleId="a6">
    <w:name w:val="Balloon Text"/>
    <w:basedOn w:val="a"/>
    <w:link w:val="a7"/>
    <w:uiPriority w:val="99"/>
    <w:semiHidden/>
    <w:unhideWhenUsed/>
    <w:rsid w:val="006A7FE1"/>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6A7FE1"/>
    <w:rPr>
      <w:rFonts w:ascii="Segoe UI" w:hAnsi="Segoe UI" w:cs="Segoe UI"/>
      <w:sz w:val="18"/>
      <w:szCs w:val="18"/>
    </w:rPr>
  </w:style>
  <w:style w:type="paragraph" w:styleId="a8">
    <w:name w:val="caption"/>
    <w:basedOn w:val="a"/>
    <w:next w:val="a"/>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2">
    <w:name w:val="Plain Table 2"/>
    <w:basedOn w:val="a1"/>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header"/>
    <w:basedOn w:val="a"/>
    <w:link w:val="aa"/>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A4F69"/>
    <w:rPr>
      <w:sz w:val="18"/>
      <w:szCs w:val="18"/>
    </w:rPr>
  </w:style>
  <w:style w:type="paragraph" w:styleId="ab">
    <w:name w:val="footer"/>
    <w:basedOn w:val="a"/>
    <w:link w:val="ac"/>
    <w:uiPriority w:val="99"/>
    <w:unhideWhenUsed/>
    <w:rsid w:val="00AA4F69"/>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obalfinancialdata.com/GFD/Article/a-brief-history-of-the-dow-jones-utility-aver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ABD4-C03F-4882-8C88-05199148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WANG Boyu</cp:lastModifiedBy>
  <cp:revision>4</cp:revision>
  <dcterms:created xsi:type="dcterms:W3CDTF">2019-04-29T08:44:00Z</dcterms:created>
  <dcterms:modified xsi:type="dcterms:W3CDTF">2019-04-29T14:35:00Z</dcterms:modified>
</cp:coreProperties>
</file>