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Possible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proofErr w:type="spellStart"/>
      <w:r w:rsidRPr="0091639B">
        <w:t>Jin</w:t>
      </w:r>
      <w:proofErr w:type="spellEnd"/>
      <w:r w:rsidRPr="0091639B">
        <w:t xml:space="preserve"> Weiguo, Kim Chan-Jung, Johnny Quek, Wang Boyu, </w:t>
      </w:r>
      <w:proofErr w:type="spellStart"/>
      <w:r w:rsidRPr="0091639B">
        <w:t>Woon</w:t>
      </w:r>
      <w:proofErr w:type="spellEnd"/>
      <w:r w:rsidRPr="0091639B">
        <w:t xml:space="preserve">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EB6FD7" w:rsidRPr="00EB6FD7" w:rsidRDefault="00EB6FD7" w:rsidP="00EB6FD7">
      <w:pPr>
        <w:spacing w:after="0" w:line="276" w:lineRule="auto"/>
        <w:jc w:val="both"/>
      </w:pPr>
      <w:r w:rsidRPr="00EB6FD7">
        <w:t xml:space="preserve">The Dow Jones Utility Average (DJUA), started back in 1929, is one of the Dow Jones index groups that tracks the performance of a small group of 15 utility stocks traded in the United States by using </w:t>
      </w:r>
      <w:r>
        <w:t>a</w:t>
      </w:r>
      <w:r w:rsidRPr="00EB6FD7">
        <w:t xml:space="preserve"> price-weighted average method. These companies predominately are producers of utility resources such as electricity and natural gas. </w:t>
      </w:r>
      <w:r>
        <w:t>In addition</w:t>
      </w:r>
      <w:r w:rsidRPr="00EB6FD7">
        <w:t xml:space="preserve">, these utility companies </w:t>
      </w:r>
      <w:r>
        <w:t xml:space="preserve">typically </w:t>
      </w:r>
      <w:r w:rsidRPr="00EB6FD7">
        <w:t>have sizable and steady stream of dividends pay</w:t>
      </w:r>
      <w:r>
        <w:t>-</w:t>
      </w:r>
      <w:r w:rsidRPr="00EB6FD7">
        <w:t xml:space="preserve">out than other sectors as they face less uncertainty and minimal future volatility due to nature </w:t>
      </w:r>
      <w:r>
        <w:t xml:space="preserve">of the utility </w:t>
      </w:r>
      <w:r w:rsidRPr="00EB6FD7">
        <w:t>industry. This</w:t>
      </w:r>
      <w:r>
        <w:t xml:space="preserve"> therefore</w:t>
      </w:r>
      <w:r w:rsidRPr="00EB6FD7">
        <w:t xml:space="preserve"> results in utility sector to </w:t>
      </w:r>
      <w:proofErr w:type="gramStart"/>
      <w:r w:rsidRPr="00EB6FD7">
        <w:t>be</w:t>
      </w:r>
      <w:r>
        <w:t xml:space="preserve"> seen as</w:t>
      </w:r>
      <w:proofErr w:type="gramEnd"/>
      <w:r w:rsidRPr="00EB6FD7">
        <w:t xml:space="preserve"> a favourite for retirees and other income investors.</w:t>
      </w:r>
    </w:p>
    <w:p w:rsidR="00EB6FD7" w:rsidRPr="00EB6FD7" w:rsidRDefault="00EB6FD7" w:rsidP="00EB6FD7">
      <w:pPr>
        <w:spacing w:after="0" w:line="276" w:lineRule="auto"/>
        <w:jc w:val="both"/>
      </w:pPr>
    </w:p>
    <w:p w:rsidR="00EB6FD7" w:rsidRPr="00EB6FD7" w:rsidRDefault="00EB6FD7" w:rsidP="00EB6FD7">
      <w:pPr>
        <w:spacing w:after="0" w:line="276" w:lineRule="auto"/>
        <w:jc w:val="both"/>
      </w:pPr>
      <w:r w:rsidRPr="00EB6FD7">
        <w:t xml:space="preserve">In hope to construct a much superior index that outperforms the original DJUA price-weighted one, our team decided to construct a smart-beta index by analysing several </w:t>
      </w:r>
      <w:r>
        <w:t xml:space="preserve">key </w:t>
      </w:r>
      <w:r w:rsidRPr="00EB6FD7">
        <w:t xml:space="preserve">fundamental factors of the individual companies to sieve out the most optimal one. This factor would then be used as the smart-beta factor for the formation of a smart-beta index. </w:t>
      </w: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proofErr w:type="spellStart"/>
      <w:r w:rsidRPr="0091639B">
        <w:t>Center</w:t>
      </w:r>
      <w:proofErr w:type="spellEnd"/>
      <w:r w:rsidRPr="0091639B">
        <w:t xml:space="preserve"> for Research in Security Prices (CRSP)</w:t>
      </w:r>
      <w:r>
        <w:t xml:space="preserve">, </w:t>
      </w:r>
      <w:proofErr w:type="spellStart"/>
      <w:r w:rsidRPr="0091639B">
        <w:t>Compustat</w:t>
      </w:r>
      <w:proofErr w:type="spellEnd"/>
      <w:r w:rsidRPr="0091639B">
        <w:t xml:space="preserve"> - Capital IQ</w:t>
      </w:r>
      <w:r>
        <w:t xml:space="preserve"> and </w:t>
      </w:r>
      <w:r w:rsidRPr="0091639B">
        <w:t>CRSP/</w:t>
      </w:r>
      <w:proofErr w:type="spellStart"/>
      <w:r w:rsidRPr="0091639B">
        <w:t>Compustat</w:t>
      </w:r>
      <w:proofErr w:type="spellEnd"/>
      <w:r w:rsidRPr="0091639B">
        <w:t xml:space="preserve">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7"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Center</w:t>
      </w:r>
      <w:proofErr w:type="spellEnd"/>
      <w:r w:rsidRPr="001B23BF">
        <w:rPr>
          <w:b/>
        </w:rPr>
        <w:t xml:space="preserve"> for Research in Security Prices (CRSP)</w:t>
      </w:r>
    </w:p>
    <w:p w:rsidR="0091639B" w:rsidRPr="0091639B" w:rsidRDefault="0091639B" w:rsidP="009C4857">
      <w:pPr>
        <w:spacing w:after="0" w:line="276" w:lineRule="auto"/>
        <w:jc w:val="both"/>
      </w:pPr>
      <w:r w:rsidRPr="0091639B">
        <w:t xml:space="preserve">The </w:t>
      </w:r>
      <w:proofErr w:type="spellStart"/>
      <w:r w:rsidRPr="0091639B">
        <w:t>Center</w:t>
      </w:r>
      <w:proofErr w:type="spellEnd"/>
      <w:r w:rsidRPr="0091639B">
        <w:t xml:space="preserve">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Compustat</w:t>
      </w:r>
      <w:proofErr w:type="spellEnd"/>
      <w:r w:rsidRPr="001B23BF">
        <w:rPr>
          <w:b/>
        </w:rPr>
        <w:t xml:space="preserve"> - Capital IQ</w:t>
      </w:r>
    </w:p>
    <w:p w:rsidR="0091639B" w:rsidRPr="0091639B" w:rsidRDefault="0091639B" w:rsidP="009C4857">
      <w:pPr>
        <w:spacing w:after="0" w:line="276" w:lineRule="auto"/>
        <w:jc w:val="both"/>
      </w:pPr>
      <w:proofErr w:type="spellStart"/>
      <w:r w:rsidRPr="0091639B">
        <w:t>Compustat</w:t>
      </w:r>
      <w:proofErr w:type="spellEnd"/>
      <w:r w:rsidRPr="0091639B">
        <w:t xml:space="preserve">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xml:space="preserve">. We used GVKEY as unique entity-level identifiers when navigating the </w:t>
      </w:r>
      <w:proofErr w:type="spellStart"/>
      <w:r w:rsidRPr="0091639B">
        <w:t>Compustat</w:t>
      </w:r>
      <w:proofErr w:type="spellEnd"/>
      <w:r w:rsidRPr="0091639B">
        <w:t xml:space="preserve">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w:t>
      </w:r>
      <w:proofErr w:type="spellStart"/>
      <w:r w:rsidRPr="001B23BF">
        <w:rPr>
          <w:b/>
        </w:rPr>
        <w:t>Compustat</w:t>
      </w:r>
      <w:proofErr w:type="spellEnd"/>
      <w:r w:rsidRPr="001B23BF">
        <w:rPr>
          <w:b/>
        </w:rPr>
        <w:t xml:space="preserve"> Merged Database (CCM)</w:t>
      </w:r>
    </w:p>
    <w:p w:rsidR="0091639B" w:rsidRDefault="00B74845" w:rsidP="009C4857">
      <w:pPr>
        <w:spacing w:after="0" w:line="276" w:lineRule="auto"/>
        <w:jc w:val="both"/>
      </w:pPr>
      <w:r>
        <w:t xml:space="preserve">We used the CCM Database to obtain the links between the unique PERMCO and GVKEY identifiers for the CRSP and </w:t>
      </w:r>
      <w:proofErr w:type="spellStart"/>
      <w:r>
        <w:t>Compustat</w:t>
      </w:r>
      <w:proofErr w:type="spellEnd"/>
      <w:r>
        <w:t xml:space="preserve">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t>Computation of Fundamentals</w:t>
      </w:r>
    </w:p>
    <w:p w:rsidR="002646C9" w:rsidRDefault="002646C9" w:rsidP="009C4857">
      <w:pPr>
        <w:spacing w:after="0" w:line="276" w:lineRule="auto"/>
        <w:jc w:val="both"/>
      </w:pPr>
      <w:r>
        <w:t xml:space="preserve">Using data obtained from both CRSP and </w:t>
      </w:r>
      <w:proofErr w:type="spellStart"/>
      <w:r>
        <w:t>Compustat</w:t>
      </w:r>
      <w:proofErr w:type="spellEnd"/>
      <w:r>
        <w:t>, the following</w:t>
      </w:r>
      <w:r w:rsidR="0071111D">
        <w:t xml:space="preserve"> 10</w:t>
      </w:r>
      <w:r>
        <w:t xml:space="preserve"> </w:t>
      </w:r>
      <w:r w:rsidR="006A2DFF">
        <w:t xml:space="preserve">selected </w:t>
      </w:r>
      <w:r>
        <w:t>fundamentals were then computed for each eligible company for each year:</w:t>
      </w:r>
    </w:p>
    <w:p w:rsidR="002646C9" w:rsidRPr="00B46903" w:rsidRDefault="002646C9" w:rsidP="009C4857">
      <w:pPr>
        <w:spacing w:after="0" w:line="276" w:lineRule="auto"/>
        <w:jc w:val="both"/>
        <w:rPr>
          <w:sz w:val="16"/>
        </w:rPr>
      </w:pPr>
    </w:p>
    <w:tbl>
      <w:tblP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098"/>
        <w:gridCol w:w="1247"/>
        <w:gridCol w:w="1247"/>
        <w:gridCol w:w="2324"/>
      </w:tblGrid>
      <w:tr w:rsidR="00B46903" w:rsidRPr="002646C9" w:rsidTr="00463061">
        <w:trPr>
          <w:trHeight w:val="567"/>
          <w:jc w:val="center"/>
        </w:trPr>
        <w:tc>
          <w:tcPr>
            <w:tcW w:w="1984" w:type="dxa"/>
            <w:shd w:val="clear" w:color="auto" w:fill="auto"/>
            <w:noWrap/>
            <w:vAlign w:val="center"/>
            <w:hideMark/>
          </w:tcPr>
          <w:p w:rsidR="00B46903" w:rsidRPr="002646C9" w:rsidRDefault="00B46903" w:rsidP="00B46903">
            <w:pPr>
              <w:spacing w:after="0" w:line="240" w:lineRule="auto"/>
              <w:jc w:val="center"/>
              <w:rPr>
                <w:rFonts w:ascii="Calibri" w:eastAsia="Times New Roman" w:hAnsi="Calibri" w:cs="Calibri"/>
                <w:b/>
                <w:bCs/>
                <w:color w:val="000000"/>
                <w:sz w:val="18"/>
              </w:rPr>
            </w:pPr>
            <w:r w:rsidRPr="002646C9">
              <w:rPr>
                <w:rFonts w:ascii="Calibri" w:eastAsia="Times New Roman" w:hAnsi="Calibri" w:cs="Calibri"/>
                <w:b/>
                <w:bCs/>
                <w:color w:val="000000"/>
                <w:sz w:val="18"/>
              </w:rPr>
              <w:t>Description</w:t>
            </w:r>
          </w:p>
        </w:tc>
        <w:tc>
          <w:tcPr>
            <w:tcW w:w="2098" w:type="dxa"/>
            <w:shd w:val="clear" w:color="auto" w:fill="auto"/>
            <w:noWrap/>
            <w:vAlign w:val="center"/>
            <w:hideMark/>
          </w:tcPr>
          <w:p w:rsidR="00B46903" w:rsidRPr="002646C9" w:rsidRDefault="00B46903" w:rsidP="00B46903">
            <w:pPr>
              <w:spacing w:after="0" w:line="240" w:lineRule="auto"/>
              <w:jc w:val="center"/>
              <w:rPr>
                <w:rFonts w:ascii="Calibri" w:eastAsia="Times New Roman" w:hAnsi="Calibri" w:cs="Calibri"/>
                <w:b/>
                <w:bCs/>
                <w:color w:val="000000"/>
                <w:sz w:val="18"/>
              </w:rPr>
            </w:pPr>
            <w:r w:rsidRPr="002646C9">
              <w:rPr>
                <w:rFonts w:ascii="Calibri" w:eastAsia="Times New Roman" w:hAnsi="Calibri" w:cs="Calibri"/>
                <w:b/>
                <w:bCs/>
                <w:color w:val="000000"/>
                <w:sz w:val="18"/>
              </w:rPr>
              <w:t>Equation</w:t>
            </w:r>
          </w:p>
        </w:tc>
        <w:tc>
          <w:tcPr>
            <w:tcW w:w="1247" w:type="dxa"/>
            <w:vAlign w:val="center"/>
          </w:tcPr>
          <w:p w:rsidR="00B46903" w:rsidRPr="002646C9" w:rsidRDefault="00B46903" w:rsidP="00B46903">
            <w:pPr>
              <w:spacing w:after="0" w:line="240" w:lineRule="auto"/>
              <w:jc w:val="center"/>
              <w:rPr>
                <w:rFonts w:ascii="Calibri" w:eastAsia="Times New Roman" w:hAnsi="Calibri" w:cs="Calibri"/>
                <w:b/>
                <w:bCs/>
                <w:color w:val="000000"/>
                <w:sz w:val="18"/>
              </w:rPr>
            </w:pPr>
            <w:r>
              <w:rPr>
                <w:rFonts w:ascii="Calibri" w:eastAsia="Times New Roman" w:hAnsi="Calibri" w:cs="Calibri"/>
                <w:b/>
                <w:bCs/>
                <w:color w:val="000000"/>
                <w:sz w:val="18"/>
              </w:rPr>
              <w:t xml:space="preserve">Price Return </w:t>
            </w:r>
            <w:r w:rsidR="009D4652">
              <w:rPr>
                <w:rFonts w:ascii="Calibri" w:eastAsia="Times New Roman" w:hAnsi="Calibri" w:cs="Calibri"/>
                <w:b/>
                <w:bCs/>
                <w:color w:val="000000"/>
                <w:sz w:val="18"/>
              </w:rPr>
              <w:t>Index</w:t>
            </w:r>
          </w:p>
        </w:tc>
        <w:tc>
          <w:tcPr>
            <w:tcW w:w="1247" w:type="dxa"/>
            <w:vAlign w:val="center"/>
          </w:tcPr>
          <w:p w:rsidR="00B46903" w:rsidRPr="002646C9" w:rsidRDefault="00B46903" w:rsidP="00B46903">
            <w:pPr>
              <w:spacing w:after="0" w:line="240" w:lineRule="auto"/>
              <w:jc w:val="center"/>
              <w:rPr>
                <w:rFonts w:ascii="Calibri" w:eastAsia="Times New Roman" w:hAnsi="Calibri" w:cs="Calibri"/>
                <w:b/>
                <w:bCs/>
                <w:color w:val="000000"/>
                <w:sz w:val="18"/>
              </w:rPr>
            </w:pPr>
            <w:r>
              <w:rPr>
                <w:rFonts w:ascii="Calibri" w:eastAsia="Times New Roman" w:hAnsi="Calibri" w:cs="Calibri"/>
                <w:b/>
                <w:bCs/>
                <w:color w:val="000000"/>
                <w:sz w:val="18"/>
              </w:rPr>
              <w:t xml:space="preserve">Total Return </w:t>
            </w:r>
            <w:r w:rsidR="009D4652">
              <w:rPr>
                <w:rFonts w:ascii="Calibri" w:eastAsia="Times New Roman" w:hAnsi="Calibri" w:cs="Calibri"/>
                <w:b/>
                <w:bCs/>
                <w:color w:val="000000"/>
                <w:sz w:val="18"/>
              </w:rPr>
              <w:t>Index</w:t>
            </w:r>
          </w:p>
        </w:tc>
        <w:tc>
          <w:tcPr>
            <w:tcW w:w="2324" w:type="dxa"/>
            <w:shd w:val="clear" w:color="auto" w:fill="auto"/>
            <w:noWrap/>
            <w:vAlign w:val="center"/>
            <w:hideMark/>
          </w:tcPr>
          <w:p w:rsidR="00B46903" w:rsidRPr="002646C9" w:rsidRDefault="00B46903" w:rsidP="00B46903">
            <w:pPr>
              <w:spacing w:after="0" w:line="240" w:lineRule="auto"/>
              <w:rPr>
                <w:rFonts w:ascii="Calibri" w:eastAsia="Times New Roman" w:hAnsi="Calibri" w:cs="Calibri"/>
                <w:b/>
                <w:bCs/>
                <w:color w:val="000000"/>
                <w:sz w:val="18"/>
              </w:rPr>
            </w:pPr>
            <w:r w:rsidRPr="002646C9">
              <w:rPr>
                <w:rFonts w:ascii="Calibri" w:eastAsia="Times New Roman" w:hAnsi="Calibri" w:cs="Calibri"/>
                <w:b/>
                <w:bCs/>
                <w:color w:val="000000"/>
                <w:sz w:val="18"/>
              </w:rPr>
              <w:t>Comments</w:t>
            </w:r>
          </w:p>
        </w:tc>
      </w:tr>
      <w:tr w:rsidR="00463061" w:rsidRPr="002646C9" w:rsidTr="00463061">
        <w:trPr>
          <w:trHeight w:val="397"/>
          <w:jc w:val="center"/>
        </w:trPr>
        <w:tc>
          <w:tcPr>
            <w:tcW w:w="1984" w:type="dxa"/>
            <w:shd w:val="clear" w:color="auto" w:fill="auto"/>
            <w:noWrap/>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Market Capitalisation</w:t>
            </w:r>
          </w:p>
        </w:tc>
        <w:tc>
          <w:tcPr>
            <w:tcW w:w="2098" w:type="dxa"/>
            <w:shd w:val="clear" w:color="auto" w:fill="auto"/>
            <w:noWrap/>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Share Price x No. of Shares Outstanding</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Assets</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Net Income/Total Assets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Capital Employed</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EBIT/Capital Employed</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r w:rsidRPr="002646C9">
              <w:rPr>
                <w:rFonts w:ascii="Calibri" w:eastAsia="Times New Roman" w:hAnsi="Calibri" w:cs="Calibri"/>
                <w:color w:val="000000"/>
                <w:sz w:val="18"/>
              </w:rPr>
              <w:t>Capital Employed = Total Assets - Current Liabilities</w:t>
            </w: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Return on Invested Capital</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NOPAT/Invested Capital</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r w:rsidRPr="002646C9">
              <w:rPr>
                <w:rFonts w:ascii="Calibri" w:eastAsia="Times New Roman" w:hAnsi="Calibri" w:cs="Calibri"/>
                <w:color w:val="000000"/>
                <w:sz w:val="18"/>
              </w:rPr>
              <w:t>NOPAT = EBIT x (1-Tax Rate)</w:t>
            </w: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Gross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Gross Profit/Revenue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Profit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Net Income/Revenue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EBITDA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EBITDA/Revenue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Operating Cash Flow Margin</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Operating Cash Flow/Revenue</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p>
        </w:tc>
        <w:tc>
          <w:tcPr>
            <w:tcW w:w="1247" w:type="dxa"/>
            <w:vAlign w:val="center"/>
          </w:tcPr>
          <w:p w:rsidR="00463061" w:rsidRPr="002646C9" w:rsidRDefault="00A62C89"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Current Ratio</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Current Assets/Current Liabilities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r w:rsidR="00463061" w:rsidRPr="002646C9" w:rsidTr="00463061">
        <w:trPr>
          <w:trHeight w:val="397"/>
          <w:jc w:val="center"/>
        </w:trPr>
        <w:tc>
          <w:tcPr>
            <w:tcW w:w="1984"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Long Term Debt to Total Equity</w:t>
            </w:r>
          </w:p>
        </w:tc>
        <w:tc>
          <w:tcPr>
            <w:tcW w:w="2098" w:type="dxa"/>
            <w:shd w:val="clear" w:color="auto" w:fill="auto"/>
            <w:noWrap/>
            <w:vAlign w:val="center"/>
            <w:hideMark/>
          </w:tcPr>
          <w:p w:rsidR="00463061" w:rsidRPr="002646C9" w:rsidRDefault="00463061" w:rsidP="00463061">
            <w:pPr>
              <w:spacing w:after="0" w:line="240" w:lineRule="auto"/>
              <w:jc w:val="center"/>
              <w:rPr>
                <w:rFonts w:ascii="Calibri" w:eastAsia="Times New Roman" w:hAnsi="Calibri" w:cs="Calibri"/>
                <w:color w:val="000000"/>
                <w:sz w:val="18"/>
              </w:rPr>
            </w:pPr>
            <w:r w:rsidRPr="002646C9">
              <w:rPr>
                <w:rFonts w:ascii="Calibri" w:eastAsia="Times New Roman" w:hAnsi="Calibri" w:cs="Calibri"/>
                <w:color w:val="000000"/>
                <w:sz w:val="18"/>
              </w:rPr>
              <w:t>Long Term Debt/Total Equity</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1247" w:type="dxa"/>
            <w:vAlign w:val="center"/>
          </w:tcPr>
          <w:p w:rsidR="00463061" w:rsidRPr="002646C9" w:rsidRDefault="00463061" w:rsidP="00463061">
            <w:pPr>
              <w:spacing w:after="0" w:line="240" w:lineRule="auto"/>
              <w:jc w:val="center"/>
              <w:rPr>
                <w:rFonts w:ascii="Calibri" w:eastAsia="Times New Roman" w:hAnsi="Calibri" w:cs="Calibri"/>
                <w:color w:val="000000"/>
                <w:sz w:val="18"/>
              </w:rPr>
            </w:pPr>
            <w:r>
              <w:rPr>
                <w:rFonts w:ascii="Calibri" w:eastAsia="Times New Roman" w:hAnsi="Calibri" w:cs="Calibri"/>
                <w:color w:val="000000"/>
                <w:sz w:val="18"/>
              </w:rPr>
              <w:t>Yes</w:t>
            </w:r>
          </w:p>
        </w:tc>
        <w:tc>
          <w:tcPr>
            <w:tcW w:w="2324" w:type="dxa"/>
            <w:shd w:val="clear" w:color="auto" w:fill="auto"/>
            <w:noWrap/>
            <w:vAlign w:val="center"/>
            <w:hideMark/>
          </w:tcPr>
          <w:p w:rsidR="00463061" w:rsidRPr="002646C9" w:rsidRDefault="00463061" w:rsidP="00463061">
            <w:pPr>
              <w:spacing w:after="0" w:line="240" w:lineRule="auto"/>
              <w:jc w:val="both"/>
              <w:rPr>
                <w:rFonts w:ascii="Calibri" w:eastAsia="Times New Roman" w:hAnsi="Calibri" w:cs="Calibri"/>
                <w:color w:val="000000"/>
                <w:sz w:val="18"/>
              </w:rPr>
            </w:pPr>
          </w:p>
        </w:tc>
      </w:tr>
    </w:tbl>
    <w:p w:rsidR="007320CC" w:rsidRPr="0091639B" w:rsidRDefault="007320CC" w:rsidP="009C4857">
      <w:pPr>
        <w:spacing w:after="0" w:line="276" w:lineRule="auto"/>
        <w:jc w:val="both"/>
        <w:rPr>
          <w:b/>
        </w:rPr>
      </w:pPr>
    </w:p>
    <w:p w:rsidR="007320CC" w:rsidRDefault="00E827D0" w:rsidP="009C4857">
      <w:pPr>
        <w:spacing w:after="0" w:line="276" w:lineRule="auto"/>
        <w:jc w:val="both"/>
        <w:rPr>
          <w:b/>
        </w:rPr>
      </w:pPr>
      <w:r>
        <w:rPr>
          <w:b/>
        </w:rPr>
        <w:t xml:space="preserve">Section 2: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F96406"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t xml:space="preserve"> </w:t>
      </w:r>
    </w:p>
    <w:p w:rsidR="005925DE" w:rsidRDefault="005925DE" w:rsidP="009C4857">
      <w:pPr>
        <w:spacing w:after="0" w:line="276" w:lineRule="auto"/>
        <w:jc w:val="both"/>
      </w:pPr>
    </w:p>
    <w:p w:rsidR="005925DE" w:rsidRDefault="005925DE" w:rsidP="009C4857">
      <w:pPr>
        <w:spacing w:after="0" w:line="276" w:lineRule="auto"/>
        <w:jc w:val="both"/>
      </w:pPr>
      <w:r>
        <w:lastRenderedPageBreak/>
        <w:t>Further, w</w:t>
      </w:r>
      <w:r w:rsidR="00B46903">
        <w:t xml:space="preserve">e only started our smart beta total returns </w:t>
      </w:r>
      <w:r w:rsidR="009D4652">
        <w:t>indices</w:t>
      </w:r>
      <w:r w:rsidR="00B46903">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rsidR="00B46903">
        <w:t xml:space="preserve">price return smart beta </w:t>
      </w:r>
      <w:r w:rsidR="009D4652">
        <w:t>indices</w:t>
      </w:r>
      <w:r w:rsidR="00B46903">
        <w:t xml:space="preserve"> based on Operating Cash Flow Margin were not constructed.</w:t>
      </w:r>
      <w:r>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Our constructed smart beta indices</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 xml:space="preserve">To put things into perspective, the value of $1 invested in our constructed ROIC-based total return smart beta portfolio at Jun 1988 would be worth $197.10 at the end of 2018 (excluding transaction costs), while an identical $1 invested in the benchmark total return index over the same </w:t>
      </w:r>
      <w:proofErr w:type="gramStart"/>
      <w:r>
        <w:t>time period</w:t>
      </w:r>
      <w:proofErr w:type="gramEnd"/>
      <w:r>
        <w:t xml:space="preserve">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proofErr w:type="gramStart"/>
      <w:r>
        <w:lastRenderedPageBreak/>
        <w:t>All of</w:t>
      </w:r>
      <w:proofErr w:type="gramEnd"/>
      <w:r>
        <w:t xml:space="preserve">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3: </w:t>
      </w:r>
      <w:r w:rsidR="009D4652">
        <w:rPr>
          <w:b/>
        </w:rPr>
        <w:t xml:space="preserve">Index </w:t>
      </w:r>
      <w:r w:rsidR="007320CC" w:rsidRPr="0091639B">
        <w:rPr>
          <w:b/>
        </w:rPr>
        <w:t>Performance Appraisal</w:t>
      </w:r>
    </w:p>
    <w:p w:rsidR="006D4738" w:rsidRPr="00372A2A" w:rsidRDefault="00372A2A" w:rsidP="009C4857">
      <w:pPr>
        <w:spacing w:after="0" w:line="276" w:lineRule="auto"/>
        <w:jc w:val="both"/>
        <w:rPr>
          <w:b/>
          <w:sz w:val="20"/>
        </w:rPr>
      </w:pPr>
      <w:r w:rsidRPr="00372A2A">
        <w:rPr>
          <w:b/>
          <w:sz w:val="20"/>
        </w:rPr>
        <w:t>Section 3.1 Geometric Monthly Return</w:t>
      </w:r>
    </w:p>
    <w:p w:rsidR="006D4738" w:rsidRPr="006D4738" w:rsidRDefault="006D4738" w:rsidP="006D4738">
      <w:pPr>
        <w:jc w:val="both"/>
      </w:pPr>
      <w:r w:rsidRPr="006D4738">
        <w:t xml:space="preserve">Table 1 and Table 2 show the </w:t>
      </w:r>
      <w:r w:rsidR="001A3677">
        <w:t>performance</w:t>
      </w:r>
      <w:r w:rsidRPr="006D4738">
        <w:t xml:space="preserve">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 xml:space="preserve">Of </w:t>
      </w:r>
      <w:proofErr w:type="gramStart"/>
      <w:r w:rsidRPr="006D4738">
        <w:t>particular note</w:t>
      </w:r>
      <w:proofErr w:type="gramEnd"/>
      <w:r w:rsidRPr="006D4738">
        <w:t xml:space="preserv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w:t>
      </w:r>
      <w:proofErr w:type="gramStart"/>
      <w:r w:rsidRPr="006D4738">
        <w:t>due to the fact that</w:t>
      </w:r>
      <w:proofErr w:type="gramEnd"/>
      <w:r w:rsidRPr="006D4738">
        <w:t xml:space="preserve">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Pr="006D4738" w:rsidRDefault="006D4738" w:rsidP="006D4738">
      <w:pPr>
        <w:pStyle w:val="Caption"/>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DJUAPR</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$ 5.14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-3.31%</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ROIC</w:t>
            </w:r>
          </w:p>
          <w:p w:rsidR="006D4738" w:rsidRPr="006D4738" w:rsidRDefault="006D4738" w:rsidP="004B21D4">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$ 37.61</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7.73%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1.32</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4.80%</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1.80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ROCE</w:t>
            </w:r>
          </w:p>
          <w:p w:rsidR="006D4738" w:rsidRPr="006D4738" w:rsidRDefault="006D4738" w:rsidP="004B21D4">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$ 9.67</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4.79%</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-0.87%</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0.39</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4.71%</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1.48</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$ 5.52</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0.26%</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-2.79%</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0.66%</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$ 5.34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4.51%</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-2.92%</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0.32</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$ 6.99</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0.30%</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-2.02%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2.65%</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$ 3.77</w:t>
            </w:r>
          </w:p>
        </w:tc>
        <w:tc>
          <w:tcPr>
            <w:tcW w:w="907"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0.20%</w:t>
            </w:r>
          </w:p>
        </w:tc>
        <w:tc>
          <w:tcPr>
            <w:tcW w:w="79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-0.18%</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-4.07%</w:t>
            </w:r>
          </w:p>
        </w:tc>
        <w:tc>
          <w:tcPr>
            <w:tcW w:w="671"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-0.46</w:t>
            </w:r>
          </w:p>
        </w:tc>
        <w:tc>
          <w:tcPr>
            <w:tcW w:w="689"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-2.56%</w:t>
            </w:r>
          </w:p>
        </w:tc>
        <w:tc>
          <w:tcPr>
            <w:tcW w:w="657"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-0.41</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6D4738" w:rsidRPr="006D4738" w:rsidRDefault="006D4738" w:rsidP="004B21D4">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$ 10.58</w:t>
            </w:r>
          </w:p>
        </w:tc>
        <w:tc>
          <w:tcPr>
            <w:tcW w:w="907"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79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4.96%</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-0.08%</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-1.98%</w:t>
            </w:r>
          </w:p>
        </w:tc>
        <w:tc>
          <w:tcPr>
            <w:tcW w:w="671"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689"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102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1.77%</w:t>
            </w:r>
          </w:p>
        </w:tc>
        <w:tc>
          <w:tcPr>
            <w:tcW w:w="657"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0.75</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6D4738" w:rsidRPr="006D4738" w:rsidRDefault="006D4738" w:rsidP="006D4738">
      <w:pPr>
        <w:pStyle w:val="Caption"/>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DJUATR</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$ 6.16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0.75%</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4.17%</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12.14%</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ROIC</w:t>
            </w:r>
          </w:p>
          <w:p w:rsidR="005E63AA" w:rsidRPr="006D4738" w:rsidRDefault="005E63AA" w:rsidP="005E63AA">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$ 181.77</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1.46%</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9.32%</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13.03%</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1.07%</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12.78%</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2.17</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ROCE</w:t>
            </w:r>
          </w:p>
          <w:p w:rsidR="005E63AA" w:rsidRPr="006D4738" w:rsidRDefault="005E63AA" w:rsidP="005E63AA">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$ 40.60</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1.03%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4.78%</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26.65%</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$ 28.79</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4.45%</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27.29%</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$ 28.19</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4.42%</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0.54%</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27.36%</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Operating Cash Flow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$ 29.46</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0.70%</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16.66%</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3.55</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29.43%</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$ 24.56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0.89%</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4.44%</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14.65%</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25.58%</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2.34</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$ 26.76</w:t>
            </w:r>
          </w:p>
        </w:tc>
        <w:tc>
          <w:tcPr>
            <w:tcW w:w="907" w:type="dxa"/>
            <w:tcBorders>
              <w:bottom w:val="double" w:sz="4" w:space="0" w:color="A5A5A5" w:themeColor="accent3"/>
            </w:tcBorders>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0.92%</w:t>
            </w:r>
          </w:p>
        </w:tc>
        <w:tc>
          <w:tcPr>
            <w:tcW w:w="79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4.19%</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0.67%</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16.10%</w:t>
            </w:r>
          </w:p>
        </w:tc>
        <w:tc>
          <w:tcPr>
            <w:tcW w:w="671"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3.44</w:t>
            </w:r>
          </w:p>
        </w:tc>
        <w:tc>
          <w:tcPr>
            <w:tcW w:w="689"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0.52%</w:t>
            </w:r>
          </w:p>
        </w:tc>
        <w:tc>
          <w:tcPr>
            <w:tcW w:w="102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29.41%</w:t>
            </w:r>
          </w:p>
        </w:tc>
        <w:tc>
          <w:tcPr>
            <w:tcW w:w="657"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3.23</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5E63AA" w:rsidRPr="006D4738" w:rsidRDefault="005E63AA" w:rsidP="005E63AA">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$ 45.79</w:t>
            </w:r>
          </w:p>
        </w:tc>
        <w:tc>
          <w:tcPr>
            <w:tcW w:w="907" w:type="dxa"/>
            <w:tcBorders>
              <w:top w:val="double" w:sz="4" w:space="0" w:color="A5A5A5" w:themeColor="accent3"/>
            </w:tcBorders>
            <w:noWrap/>
            <w:vAlign w:val="center"/>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0.98%</w:t>
            </w:r>
          </w:p>
        </w:tc>
        <w:tc>
          <w:tcPr>
            <w:tcW w:w="79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5.00%</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0.74%</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15.05%</w:t>
            </w:r>
          </w:p>
        </w:tc>
        <w:tc>
          <w:tcPr>
            <w:tcW w:w="671"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3.29</w:t>
            </w:r>
          </w:p>
        </w:tc>
        <w:tc>
          <w:tcPr>
            <w:tcW w:w="689"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0.63%</w:t>
            </w:r>
          </w:p>
        </w:tc>
        <w:tc>
          <w:tcPr>
            <w:tcW w:w="102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25.50%</w:t>
            </w:r>
          </w:p>
        </w:tc>
        <w:tc>
          <w:tcPr>
            <w:tcW w:w="657"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 xml:space="preserve">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1-month, 3-month, and 12-month returns. This also accords with that ROIC is the most profitable index in Table 1 and 2. </w:t>
      </w:r>
    </w:p>
    <w:p w:rsidR="00087937" w:rsidRPr="00087937" w:rsidRDefault="00087937" w:rsidP="00087937">
      <w:pPr>
        <w:pStyle w:val="Caption"/>
        <w:keepNext/>
        <w:jc w:val="center"/>
        <w:rPr>
          <w:rFonts w:cstheme="minorHAnsi"/>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PlainTable2"/>
        <w:tblW w:w="9116" w:type="dxa"/>
        <w:tblCellMar>
          <w:left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79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0.82</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13.41%</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-16.02%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-24.55%</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46.70%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-41.68%</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138.22</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134.33%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-30.60%</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125.15%</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161.42%</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-43.59%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0.26</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2.48</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-17.66%</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55.88%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-28.14%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100.79%</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-41.76%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1.35</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-21.34%</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40.09%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-30.76%</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62.44%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1.19</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-20.12%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37.60%</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-28.96%</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56.73%</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-0.21</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1.67</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19.25%</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-21.33%</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39.49%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-34.02%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67.16%</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79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-0.02</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1.22</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19.44%</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-17.65%</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34.76%</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-30.31%</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58.32%</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-49.46%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79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w:t>
            </w:r>
          </w:p>
        </w:tc>
        <w:tc>
          <w:tcPr>
            <w:tcW w:w="763"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20.99</w:t>
            </w:r>
          </w:p>
        </w:tc>
        <w:tc>
          <w:tcPr>
            <w:tcW w:w="1019"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35.38%</w:t>
            </w:r>
          </w:p>
        </w:tc>
        <w:tc>
          <w:tcPr>
            <w:tcW w:w="1204"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-20.68%</w:t>
            </w:r>
          </w:p>
        </w:tc>
        <w:tc>
          <w:tcPr>
            <w:tcW w:w="967"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51.52%</w:t>
            </w:r>
          </w:p>
        </w:tc>
        <w:tc>
          <w:tcPr>
            <w:tcW w:w="1005"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-29.19%</w:t>
            </w:r>
          </w:p>
        </w:tc>
        <w:tc>
          <w:tcPr>
            <w:tcW w:w="1048"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79.08%</w:t>
            </w:r>
          </w:p>
        </w:tc>
        <w:tc>
          <w:tcPr>
            <w:tcW w:w="104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-44.24%</w:t>
            </w:r>
          </w:p>
        </w:tc>
      </w:tr>
    </w:tbl>
    <w:p w:rsidR="00087937" w:rsidRPr="00087937" w:rsidRDefault="00087937" w:rsidP="00087937">
      <w:pPr>
        <w:pStyle w:val="Caption"/>
        <w:keepNext/>
        <w:jc w:val="center"/>
        <w:rPr>
          <w:rFonts w:cstheme="minorHAnsi"/>
          <w:b/>
        </w:rPr>
      </w:pPr>
      <w:r w:rsidRPr="00087937">
        <w:rPr>
          <w:rFonts w:cstheme="minorHAnsi"/>
          <w:b/>
        </w:rPr>
        <w:lastRenderedPageBreak/>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Jul 1988 </w:t>
      </w:r>
      <w:r w:rsidRPr="00087937">
        <w:rPr>
          <w:rFonts w:cstheme="minorHAnsi"/>
          <w:b/>
          <w:noProof/>
        </w:rPr>
        <w:t>- Dec 2018</w:t>
      </w:r>
    </w:p>
    <w:tbl>
      <w:tblPr>
        <w:tblStyle w:val="PlainTable2"/>
        <w:tblW w:w="9212" w:type="dxa"/>
        <w:tblCellMar>
          <w:left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88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12.39%</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-13.33%</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-21.63%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51.65%</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-31.80%</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8.43</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117.26</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134.84%</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-28.59%</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194.69%</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-32.58%</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0.29</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3.80</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27.36%</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-17.55%</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57.59%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108.80%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-33.09%</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-0.57</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1.98</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15.83%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-21.26%</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40.81%</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-30.14%</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-33.25%</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1.63</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14.40%</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-20.04%</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38.39%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-28.33%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61.74%</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-31.42%</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Operating Cash Flow Margin</w:t>
            </w:r>
          </w:p>
        </w:tc>
        <w:tc>
          <w:tcPr>
            <w:tcW w:w="88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-0.43</w:t>
            </w:r>
          </w:p>
        </w:tc>
        <w:tc>
          <w:tcPr>
            <w:tcW w:w="763"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0.68</w:t>
            </w:r>
          </w:p>
        </w:tc>
        <w:tc>
          <w:tcPr>
            <w:tcW w:w="1019"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13.93%</w:t>
            </w:r>
          </w:p>
        </w:tc>
        <w:tc>
          <w:tcPr>
            <w:tcW w:w="1204"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-13.00%</w:t>
            </w:r>
          </w:p>
        </w:tc>
        <w:tc>
          <w:tcPr>
            <w:tcW w:w="967"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33.52%</w:t>
            </w:r>
          </w:p>
        </w:tc>
        <w:tc>
          <w:tcPr>
            <w:tcW w:w="1005"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-22.70%</w:t>
            </w:r>
          </w:p>
        </w:tc>
        <w:tc>
          <w:tcPr>
            <w:tcW w:w="104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52.94%</w:t>
            </w:r>
          </w:p>
        </w:tc>
        <w:tc>
          <w:tcPr>
            <w:tcW w:w="1042"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-32.84%</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15.34%</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-21.28%</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40.26%</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-33.44%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71.58%</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-37.54%</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88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-0.14</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1.14</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19.37%</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-11.18%</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35.80%</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-22.07%</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63.38%</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-27.70%</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88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0.75</w:t>
            </w:r>
          </w:p>
        </w:tc>
        <w:tc>
          <w:tcPr>
            <w:tcW w:w="763"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16.15</w:t>
            </w:r>
          </w:p>
        </w:tc>
        <w:tc>
          <w:tcPr>
            <w:tcW w:w="1019"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31.68%</w:t>
            </w:r>
          </w:p>
        </w:tc>
        <w:tc>
          <w:tcPr>
            <w:tcW w:w="1204"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-18.28%</w:t>
            </w:r>
          </w:p>
        </w:tc>
        <w:tc>
          <w:tcPr>
            <w:tcW w:w="967"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31.28%</w:t>
            </w:r>
          </w:p>
        </w:tc>
        <w:tc>
          <w:tcPr>
            <w:tcW w:w="1005"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-26.58%</w:t>
            </w:r>
          </w:p>
        </w:tc>
        <w:tc>
          <w:tcPr>
            <w:tcW w:w="104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83.99%</w:t>
            </w:r>
          </w:p>
        </w:tc>
        <w:tc>
          <w:tcPr>
            <w:tcW w:w="1042"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-32.53%</w:t>
            </w:r>
          </w:p>
        </w:tc>
      </w:tr>
    </w:tbl>
    <w:p w:rsidR="00087937" w:rsidRDefault="00087937" w:rsidP="00087937">
      <w:pPr>
        <w:rPr>
          <w:rFonts w:cstheme="minorHAnsi"/>
          <w:sz w:val="18"/>
          <w:szCs w:val="18"/>
        </w:rPr>
      </w:pPr>
    </w:p>
    <w:p w:rsidR="00372A2A" w:rsidRPr="00372A2A" w:rsidRDefault="00372A2A" w:rsidP="00372A2A">
      <w:pPr>
        <w:spacing w:after="0" w:line="276" w:lineRule="auto"/>
        <w:jc w:val="both"/>
        <w:rPr>
          <w:b/>
          <w:sz w:val="20"/>
        </w:rPr>
      </w:pPr>
      <w:r w:rsidRPr="00372A2A">
        <w:rPr>
          <w:b/>
          <w:sz w:val="20"/>
        </w:rPr>
        <w:t>Section 3.2 Arithmetic Annual Return</w:t>
      </w:r>
    </w:p>
    <w:p w:rsidR="00372A2A" w:rsidRDefault="00372A2A" w:rsidP="00372A2A">
      <w:pPr>
        <w:jc w:val="both"/>
      </w:pPr>
      <w:r>
        <w:t xml:space="preserve">The table below summarizes arithmetic annual price returns for the six fundamental-weighted indexes. Except for ROIC-weighted index, other indexes are capped by 6% annually with Market cap gives the lowest annual figure of 3.91%. ROIC-weighted index, despite of its highest volatility, performs the best in terms annual return and </w:t>
      </w:r>
      <w:proofErr w:type="spellStart"/>
      <w:r>
        <w:t>sharpe</w:t>
      </w:r>
      <w:proofErr w:type="spellEnd"/>
      <w:r>
        <w:t xml:space="preserve"> ratio. It has the best monthly return, most positive monthly returns and worst monthly return. Its lower than average correlation (0.64) with DJU implies its exceptional return cannot be explained by the benchmark, which makes ROIC-weighted index the best performer among all the fundamentals between 1964-2018.</w:t>
      </w:r>
    </w:p>
    <w:tbl>
      <w:tblPr>
        <w:tblW w:w="9089" w:type="dxa"/>
        <w:jc w:val="center"/>
        <w:tblLook w:val="04A0" w:firstRow="1" w:lastRow="0" w:firstColumn="1" w:lastColumn="0" w:noHBand="0" w:noVBand="1"/>
      </w:tblPr>
      <w:tblGrid>
        <w:gridCol w:w="3407"/>
        <w:gridCol w:w="741"/>
        <w:gridCol w:w="1045"/>
        <w:gridCol w:w="801"/>
        <w:gridCol w:w="773"/>
        <w:gridCol w:w="773"/>
        <w:gridCol w:w="773"/>
        <w:gridCol w:w="776"/>
      </w:tblGrid>
      <w:tr w:rsidR="00D46AE8" w:rsidRPr="00D46AE8" w:rsidTr="00681D63">
        <w:trPr>
          <w:trHeight w:val="216"/>
          <w:jc w:val="center"/>
        </w:trPr>
        <w:tc>
          <w:tcPr>
            <w:tcW w:w="3407"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sz w:val="14"/>
                <w:szCs w:val="24"/>
                <w:lang w:val="en-GB"/>
              </w:rPr>
            </w:pPr>
          </w:p>
        </w:tc>
        <w:tc>
          <w:tcPr>
            <w:tcW w:w="5682"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Price Return (Arithmetic)</w:t>
            </w:r>
          </w:p>
        </w:tc>
      </w:tr>
      <w:tr w:rsidR="00D46AE8" w:rsidRPr="00D46AE8" w:rsidTr="00681D63">
        <w:trPr>
          <w:trHeight w:val="440"/>
          <w:jc w:val="center"/>
        </w:trPr>
        <w:tc>
          <w:tcPr>
            <w:tcW w:w="3407" w:type="dxa"/>
            <w:tcBorders>
              <w:top w:val="single" w:sz="8" w:space="0" w:color="auto"/>
              <w:left w:val="single" w:sz="8" w:space="0" w:color="auto"/>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 xml:space="preserve">Jan </w:t>
            </w:r>
            <w:r w:rsidRPr="00D46AE8">
              <w:rPr>
                <w:rFonts w:eastAsia="Times New Roman" w:cstheme="minorHAnsi"/>
                <w:color w:val="000000"/>
                <w:sz w:val="14"/>
                <w:lang w:val="en-GB"/>
              </w:rPr>
              <w:t>1964-</w:t>
            </w:r>
            <w:r>
              <w:rPr>
                <w:rFonts w:eastAsia="Times New Roman" w:cstheme="minorHAnsi"/>
                <w:color w:val="000000"/>
                <w:sz w:val="14"/>
                <w:lang w:val="en-GB"/>
              </w:rPr>
              <w:t xml:space="preserve"> Dec </w:t>
            </w:r>
            <w:r w:rsidRPr="00D46AE8">
              <w:rPr>
                <w:rFonts w:eastAsia="Times New Roman" w:cstheme="minorHAnsi"/>
                <w:color w:val="000000"/>
                <w:sz w:val="14"/>
                <w:lang w:val="en-GB"/>
              </w:rPr>
              <w:t>2018</w:t>
            </w:r>
          </w:p>
        </w:tc>
        <w:tc>
          <w:tcPr>
            <w:tcW w:w="74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DJU</w:t>
            </w:r>
          </w:p>
        </w:tc>
        <w:tc>
          <w:tcPr>
            <w:tcW w:w="1045"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Market Cap</w:t>
            </w:r>
          </w:p>
        </w:tc>
        <w:tc>
          <w:tcPr>
            <w:tcW w:w="80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ROIC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ROC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Gross Margin</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EBITDA Margin</w:t>
            </w:r>
          </w:p>
        </w:tc>
        <w:tc>
          <w:tcPr>
            <w:tcW w:w="776" w:type="dxa"/>
            <w:tcBorders>
              <w:top w:val="single" w:sz="8" w:space="0" w:color="auto"/>
              <w:left w:val="nil"/>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proofErr w:type="spellStart"/>
            <w:r w:rsidRPr="00D46AE8">
              <w:rPr>
                <w:rFonts w:eastAsia="Times New Roman" w:cstheme="minorHAnsi"/>
                <w:color w:val="000000"/>
                <w:sz w:val="14"/>
                <w:lang w:val="en-GB"/>
              </w:rPr>
              <w:t>Curr</w:t>
            </w:r>
            <w:proofErr w:type="spellEnd"/>
            <w:r w:rsidRPr="00D46AE8">
              <w:rPr>
                <w:rFonts w:eastAsia="Times New Roman" w:cstheme="minorHAnsi"/>
                <w:color w:val="000000"/>
                <w:sz w:val="14"/>
                <w:lang w:val="en-GB"/>
              </w:rPr>
              <w:t xml:space="preserve"> Ratio</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Annual return</w:t>
            </w:r>
          </w:p>
        </w:tc>
        <w:tc>
          <w:tcPr>
            <w:tcW w:w="74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Average Annual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4.34%</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3.91%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9.47%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5.89%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4.68%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5.20%</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16.31%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17.38%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27.20%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19.49%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17.71%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17.27%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18.17%</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 xml:space="preserve">Average Annual </w:t>
            </w:r>
            <w:proofErr w:type="gramStart"/>
            <w:r w:rsidRPr="00D46AE8">
              <w:rPr>
                <w:rFonts w:eastAsia="Times New Roman" w:cstheme="minorHAnsi"/>
                <w:color w:val="000000"/>
                <w:sz w:val="14"/>
                <w:lang w:val="en-GB"/>
              </w:rPr>
              <w:t>Risk Free</w:t>
            </w:r>
            <w:proofErr w:type="gramEnd"/>
            <w:r w:rsidRPr="00D46AE8">
              <w:rPr>
                <w:rFonts w:eastAsia="Times New Roman" w:cstheme="minorHAnsi"/>
                <w:color w:val="000000"/>
                <w:sz w:val="14"/>
                <w:lang w:val="en-GB"/>
              </w:rPr>
              <w:t xml:space="preserve"> Rate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4.78%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Ratios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Sharpe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-2.65%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-4.84%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17.05%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-1.29%</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2.23%</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Downside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11.39%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10.75%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11.87%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10.87%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11.59%</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proofErr w:type="spellStart"/>
            <w:r w:rsidRPr="00D46AE8">
              <w:rPr>
                <w:rFonts w:eastAsia="Times New Roman" w:cstheme="minorHAnsi"/>
                <w:color w:val="000000"/>
                <w:sz w:val="14"/>
                <w:lang w:val="en-GB"/>
              </w:rPr>
              <w:t>Sortino</w:t>
            </w:r>
            <w:proofErr w:type="spellEnd"/>
            <w:r w:rsidRPr="00D46AE8">
              <w:rPr>
                <w:rFonts w:eastAsia="Times New Roman" w:cstheme="minorHAnsi"/>
                <w:color w:val="000000"/>
                <w:sz w:val="14"/>
                <w:lang w:val="en-GB"/>
              </w:rPr>
              <w:t xml:space="preserv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-3.89%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-8.09%</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39.51%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3.59%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Extreme Risk Statistics</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Best Month</w:t>
            </w:r>
            <w:r w:rsidR="00681D63">
              <w:rPr>
                <w:rFonts w:eastAsia="Times New Roman" w:cstheme="minorHAnsi"/>
                <w:color w:val="000000"/>
                <w:sz w:val="14"/>
                <w:lang w:val="en-GB"/>
              </w:rPr>
              <w:t>l</w:t>
            </w:r>
            <w:r w:rsidRPr="00D46AE8">
              <w:rPr>
                <w:rFonts w:eastAsia="Times New Roman" w:cstheme="minorHAnsi"/>
                <w:color w:val="000000"/>
                <w:sz w:val="14"/>
                <w:lang w:val="en-GB"/>
              </w:rPr>
              <w:t>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45.45%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19.44%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134.33%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27.47%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19.25%</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Worst Mont</w:t>
            </w:r>
            <w:r w:rsidR="00681D63">
              <w:rPr>
                <w:rFonts w:eastAsia="Times New Roman" w:cstheme="minorHAnsi"/>
                <w:color w:val="000000"/>
                <w:sz w:val="14"/>
                <w:lang w:val="en-GB"/>
              </w:rPr>
              <w:t>h</w:t>
            </w:r>
            <w:r w:rsidRPr="00D46AE8">
              <w:rPr>
                <w:rFonts w:eastAsia="Times New Roman" w:cstheme="minorHAnsi"/>
                <w:color w:val="000000"/>
                <w:sz w:val="14"/>
                <w:lang w:val="en-GB"/>
              </w:rPr>
              <w:t>ly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-30.38%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-17.65%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-30.60%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-17.66%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-20.12%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-21.33%</w:t>
            </w:r>
          </w:p>
        </w:tc>
      </w:tr>
      <w:tr w:rsidR="00D46AE8" w:rsidRPr="00D46AE8" w:rsidTr="00681D63">
        <w:trPr>
          <w:trHeight w:val="185"/>
          <w:jc w:val="center"/>
        </w:trPr>
        <w:tc>
          <w:tcPr>
            <w:tcW w:w="3407" w:type="dxa"/>
            <w:tcBorders>
              <w:top w:val="nil"/>
              <w:left w:val="single" w:sz="8" w:space="0" w:color="auto"/>
              <w:bottom w:val="nil"/>
              <w:right w:val="single" w:sz="8" w:space="0" w:color="auto"/>
            </w:tcBorders>
            <w:shd w:val="clear" w:color="auto" w:fill="auto"/>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Percentage of Months with + Return (not netting of Rf)</w:t>
            </w:r>
          </w:p>
        </w:tc>
        <w:tc>
          <w:tcPr>
            <w:tcW w:w="741" w:type="dxa"/>
            <w:tcBorders>
              <w:top w:val="nil"/>
              <w:left w:val="nil"/>
              <w:bottom w:val="nil"/>
              <w:right w:val="nil"/>
            </w:tcBorders>
            <w:shd w:val="clear" w:color="auto" w:fill="auto"/>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55.30%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55.12%</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56.73%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56.14%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55.12%</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55.85%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54.82%</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Performance Relative to the DJU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Alpha</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-0.0041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0.0516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0.0160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0.0036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0.0022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0.0089</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Beta to Market</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1.03</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1.07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1.06</w:t>
            </w:r>
          </w:p>
        </w:tc>
      </w:tr>
      <w:tr w:rsidR="00D46AE8" w:rsidRPr="00D46AE8" w:rsidTr="00681D63">
        <w:trPr>
          <w:trHeight w:val="223"/>
          <w:jc w:val="center"/>
        </w:trPr>
        <w:tc>
          <w:tcPr>
            <w:tcW w:w="3407" w:type="dxa"/>
            <w:tcBorders>
              <w:top w:val="nil"/>
              <w:left w:val="single" w:sz="8" w:space="0" w:color="auto"/>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Correlation with DJU</w:t>
            </w:r>
          </w:p>
        </w:tc>
        <w:tc>
          <w:tcPr>
            <w:tcW w:w="74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0.95</w:t>
            </w:r>
          </w:p>
        </w:tc>
        <w:tc>
          <w:tcPr>
            <w:tcW w:w="80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0.64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0.91</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6" w:type="dxa"/>
            <w:tcBorders>
              <w:top w:val="nil"/>
              <w:left w:val="nil"/>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0.95</w:t>
            </w:r>
          </w:p>
        </w:tc>
      </w:tr>
    </w:tbl>
    <w:p w:rsidR="00372A2A" w:rsidRDefault="00372A2A" w:rsidP="00372A2A">
      <w:pPr>
        <w:jc w:val="both"/>
      </w:pPr>
      <w:r>
        <w:t>Total return figures show generally consistency with price return, except for benchmark DJU takes the place of the worst performer. ROIC-weighted index yields its total annual return of 22.82%, in which more than half comes from dividend yield, due to high dividend-</w:t>
      </w:r>
      <w:proofErr w:type="spellStart"/>
      <w:r>
        <w:t>payout</w:t>
      </w:r>
      <w:proofErr w:type="spellEnd"/>
      <w:r>
        <w:t xml:space="preserve"> nature of utility firms.</w:t>
      </w:r>
    </w:p>
    <w:tbl>
      <w:tblPr>
        <w:tblW w:w="9004" w:type="dxa"/>
        <w:jc w:val="center"/>
        <w:tblLook w:val="04A0" w:firstRow="1" w:lastRow="0" w:firstColumn="1" w:lastColumn="0" w:noHBand="0" w:noVBand="1"/>
      </w:tblPr>
      <w:tblGrid>
        <w:gridCol w:w="3400"/>
        <w:gridCol w:w="737"/>
        <w:gridCol w:w="873"/>
        <w:gridCol w:w="716"/>
        <w:gridCol w:w="655"/>
        <w:gridCol w:w="655"/>
        <w:gridCol w:w="655"/>
        <w:gridCol w:w="655"/>
        <w:gridCol w:w="658"/>
      </w:tblGrid>
      <w:tr w:rsidR="00681D63" w:rsidRPr="00681D63" w:rsidTr="00681D63">
        <w:trPr>
          <w:trHeight w:val="245"/>
          <w:jc w:val="center"/>
        </w:trPr>
        <w:tc>
          <w:tcPr>
            <w:tcW w:w="3400"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sz w:val="14"/>
                <w:szCs w:val="24"/>
                <w:lang w:val="en-GB"/>
              </w:rPr>
            </w:pPr>
          </w:p>
        </w:tc>
        <w:tc>
          <w:tcPr>
            <w:tcW w:w="5604" w:type="dxa"/>
            <w:gridSpan w:val="8"/>
            <w:tcBorders>
              <w:top w:val="single" w:sz="8" w:space="0" w:color="auto"/>
              <w:left w:val="single" w:sz="8" w:space="0" w:color="auto"/>
              <w:bottom w:val="single" w:sz="8" w:space="0" w:color="auto"/>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Total Return (Arithmetic)</w:t>
            </w:r>
          </w:p>
        </w:tc>
      </w:tr>
      <w:tr w:rsidR="00681D63" w:rsidRPr="00681D63" w:rsidTr="00681D63">
        <w:trPr>
          <w:trHeight w:val="498"/>
          <w:jc w:val="center"/>
        </w:trPr>
        <w:tc>
          <w:tcPr>
            <w:tcW w:w="3400" w:type="dxa"/>
            <w:tcBorders>
              <w:top w:val="single" w:sz="8" w:space="0" w:color="auto"/>
              <w:left w:val="single" w:sz="8" w:space="0" w:color="auto"/>
              <w:bottom w:val="single" w:sz="8" w:space="0" w:color="auto"/>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1989-2018</w:t>
            </w:r>
          </w:p>
        </w:tc>
        <w:tc>
          <w:tcPr>
            <w:tcW w:w="737" w:type="dxa"/>
            <w:tcBorders>
              <w:top w:val="single" w:sz="8" w:space="0" w:color="auto"/>
              <w:left w:val="single" w:sz="8" w:space="0" w:color="auto"/>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DJU</w:t>
            </w:r>
          </w:p>
        </w:tc>
        <w:tc>
          <w:tcPr>
            <w:tcW w:w="873"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Market Cap</w:t>
            </w:r>
          </w:p>
        </w:tc>
        <w:tc>
          <w:tcPr>
            <w:tcW w:w="716"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ROIC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ROC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Gross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EBITDA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Op CF Margin</w:t>
            </w:r>
          </w:p>
        </w:tc>
        <w:tc>
          <w:tcPr>
            <w:tcW w:w="655" w:type="dxa"/>
            <w:tcBorders>
              <w:top w:val="single" w:sz="8" w:space="0" w:color="auto"/>
              <w:left w:val="nil"/>
              <w:bottom w:val="nil"/>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proofErr w:type="spellStart"/>
            <w:r w:rsidRPr="00681D63">
              <w:rPr>
                <w:rFonts w:eastAsia="Times New Roman" w:cs="Times New Roman"/>
                <w:color w:val="000000"/>
                <w:sz w:val="14"/>
                <w:lang w:val="en-GB"/>
              </w:rPr>
              <w:t>Curr</w:t>
            </w:r>
            <w:proofErr w:type="spellEnd"/>
            <w:r w:rsidRPr="00681D63">
              <w:rPr>
                <w:rFonts w:eastAsia="Times New Roman" w:cs="Times New Roman"/>
                <w:color w:val="000000"/>
                <w:sz w:val="14"/>
                <w:lang w:val="en-GB"/>
              </w:rPr>
              <w:t xml:space="preserve"> Ratio</w:t>
            </w:r>
          </w:p>
        </w:tc>
      </w:tr>
      <w:tr w:rsidR="00681D63" w:rsidRPr="00681D63" w:rsidTr="00681D63">
        <w:trPr>
          <w:trHeight w:val="253"/>
          <w:jc w:val="center"/>
        </w:trPr>
        <w:tc>
          <w:tcPr>
            <w:tcW w:w="3400" w:type="dxa"/>
            <w:tcBorders>
              <w:top w:val="nil"/>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Annual return</w:t>
            </w:r>
          </w:p>
        </w:tc>
        <w:tc>
          <w:tcPr>
            <w:tcW w:w="737" w:type="dxa"/>
            <w:tcBorders>
              <w:top w:val="single" w:sz="8" w:space="0" w:color="auto"/>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p>
        </w:tc>
        <w:tc>
          <w:tcPr>
            <w:tcW w:w="873"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Average Annual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11.02%</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22.82%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15.24%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18.70%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18.82%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36.03%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22.84%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19.73%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19.06%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17.85%</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20.29%</w:t>
            </w:r>
          </w:p>
        </w:tc>
      </w:tr>
      <w:tr w:rsidR="00681D63" w:rsidRPr="00681D63" w:rsidTr="00681D63">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Average Annual </w:t>
            </w:r>
            <w:proofErr w:type="gramStart"/>
            <w:r w:rsidRPr="00681D63">
              <w:rPr>
                <w:rFonts w:eastAsia="Times New Roman" w:cs="Times New Roman"/>
                <w:color w:val="000000"/>
                <w:sz w:val="14"/>
                <w:lang w:val="en-GB"/>
              </w:rPr>
              <w:t>Risk Free</w:t>
            </w:r>
            <w:proofErr w:type="gramEnd"/>
            <w:r w:rsidRPr="00681D63">
              <w:rPr>
                <w:rFonts w:eastAsia="Times New Roman" w:cs="Times New Roman"/>
                <w:color w:val="000000"/>
                <w:sz w:val="14"/>
                <w:lang w:val="en-GB"/>
              </w:rPr>
              <w:t xml:space="preserve"> Rate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3.04%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r>
      <w:tr w:rsidR="00681D63" w:rsidRPr="00681D63" w:rsidTr="00681D63">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Ratios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Sharpe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42.58%</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56.1%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53.7%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58.2%</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49.7%</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Downside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13.95%</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11.75%</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13.57%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12.94%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12.32%</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14.77%</w:t>
            </w:r>
          </w:p>
        </w:tc>
      </w:tr>
      <w:tr w:rsidR="00681D63" w:rsidRPr="00681D63" w:rsidTr="00681D63">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proofErr w:type="spellStart"/>
            <w:r w:rsidRPr="00681D63">
              <w:rPr>
                <w:rFonts w:eastAsia="Times New Roman" w:cs="Times New Roman"/>
                <w:color w:val="000000"/>
                <w:sz w:val="14"/>
                <w:lang w:val="en-GB"/>
              </w:rPr>
              <w:lastRenderedPageBreak/>
              <w:t>Sortino</w:t>
            </w:r>
            <w:proofErr w:type="spellEnd"/>
            <w:r w:rsidRPr="00681D63">
              <w:rPr>
                <w:rFonts w:eastAsia="Times New Roman" w:cs="Times New Roman"/>
                <w:color w:val="000000"/>
                <w:sz w:val="14"/>
                <w:lang w:val="en-GB"/>
              </w:rPr>
              <w:t xml:space="preserv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57.21%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85.90%</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143.76%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89.97%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78.97%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80.21%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84.04%</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68.36%</w:t>
            </w:r>
          </w:p>
        </w:tc>
      </w:tr>
      <w:tr w:rsidR="00681D63" w:rsidRPr="00681D63" w:rsidTr="00681D63">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Extreme Risk Statistics</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Best </w:t>
            </w:r>
            <w:proofErr w:type="spellStart"/>
            <w:r w:rsidRPr="00681D63">
              <w:rPr>
                <w:rFonts w:eastAsia="Times New Roman" w:cs="Times New Roman"/>
                <w:color w:val="000000"/>
                <w:sz w:val="14"/>
                <w:lang w:val="en-GB"/>
              </w:rPr>
              <w:t>Monthy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50.76%</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19.37%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134.84%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27.36%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15.83%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14.40%</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13.93%</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15.34%</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Worst </w:t>
            </w:r>
            <w:proofErr w:type="spellStart"/>
            <w:r w:rsidRPr="00681D63">
              <w:rPr>
                <w:rFonts w:eastAsia="Times New Roman" w:cs="Times New Roman"/>
                <w:color w:val="000000"/>
                <w:sz w:val="14"/>
                <w:lang w:val="en-GB"/>
              </w:rPr>
              <w:t>Monttly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-27.84%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-11.18%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-28.59%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-17.55%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-13.00%</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-21.28%</w:t>
            </w:r>
          </w:p>
        </w:tc>
      </w:tr>
      <w:tr w:rsidR="00681D63" w:rsidRPr="00681D63" w:rsidTr="00681D63">
        <w:trPr>
          <w:trHeight w:val="381"/>
          <w:jc w:val="center"/>
        </w:trPr>
        <w:tc>
          <w:tcPr>
            <w:tcW w:w="3400"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Percentage of Months with + Return (not netting of Rf)</w:t>
            </w:r>
          </w:p>
        </w:tc>
        <w:tc>
          <w:tcPr>
            <w:tcW w:w="737"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63.61%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65.28%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65.56%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63.89%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64.44%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65.83%</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r>
      <w:tr w:rsidR="00681D63" w:rsidRPr="00681D63" w:rsidTr="00681D63">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Performance Relative to the DJU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Alpha</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0.0233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0.1219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0.0364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0.0315</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0.0200</w:t>
            </w:r>
          </w:p>
        </w:tc>
      </w:tr>
      <w:tr w:rsidR="00681D63" w:rsidRPr="00681D63" w:rsidTr="00681D63">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Beta to Market</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0.95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1.01</w:t>
            </w:r>
          </w:p>
        </w:tc>
      </w:tr>
      <w:tr w:rsidR="00681D63" w:rsidRPr="00681D63" w:rsidTr="00681D63">
        <w:trPr>
          <w:trHeight w:val="253"/>
          <w:jc w:val="center"/>
        </w:trPr>
        <w:tc>
          <w:tcPr>
            <w:tcW w:w="3400"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Correlation with DJU</w:t>
            </w:r>
          </w:p>
        </w:tc>
        <w:tc>
          <w:tcPr>
            <w:tcW w:w="737"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716"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0.54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r>
    </w:tbl>
    <w:p w:rsidR="006D4738" w:rsidRPr="0091639B" w:rsidRDefault="006D4738" w:rsidP="009C4857">
      <w:pPr>
        <w:spacing w:after="0" w:line="276" w:lineRule="auto"/>
        <w:jc w:val="both"/>
        <w:rPr>
          <w:b/>
        </w:rPr>
      </w:pPr>
    </w:p>
    <w:p w:rsidR="00AA4F69" w:rsidRDefault="00E5506A" w:rsidP="00AA4F69">
      <w:pPr>
        <w:spacing w:after="0" w:line="276" w:lineRule="auto"/>
        <w:jc w:val="both"/>
        <w:rPr>
          <w:b/>
        </w:rPr>
      </w:pPr>
      <w:r>
        <w:rPr>
          <w:b/>
        </w:rPr>
        <w:t xml:space="preserve">Section 4: </w:t>
      </w:r>
      <w:r w:rsidR="007320CC" w:rsidRPr="0091639B">
        <w:rPr>
          <w:b/>
        </w:rPr>
        <w:t>Autocorrelation of Fundamentals</w:t>
      </w:r>
    </w:p>
    <w:p w:rsidR="00B54E2C" w:rsidRPr="00B54E2C" w:rsidRDefault="00B54E2C" w:rsidP="00B54E2C">
      <w:r w:rsidRPr="00B54E2C">
        <w:t xml:space="preserve">To see if we can use companies’ past fundamental information to predict future’s fundamental, we obtained lag 1 autocorrelation coefficients of fundamentals and corresponding t-statistics to conduct significance test. It turned out that most of fundamental data except for some companies’ case – Centerior Energy Corp, Columbia Energy Group, and Niagara Mohawk Holdings Inc – has strong autocorrelation. Therefore, if fundamentals have </w:t>
      </w:r>
      <w:proofErr w:type="gramStart"/>
      <w:r w:rsidRPr="00B54E2C">
        <w:t>sufficient</w:t>
      </w:r>
      <w:proofErr w:type="gramEnd"/>
      <w:r w:rsidRPr="00B54E2C">
        <w:t xml:space="preserve"> explanatory power to predict returns, we would be able to utilise past fundamental data to estimate future returns.</w:t>
      </w:r>
    </w:p>
    <w:p w:rsidR="00B54E2C" w:rsidRPr="00375135" w:rsidRDefault="00B54E2C" w:rsidP="00B54E2C">
      <w:pPr>
        <w:pStyle w:val="Caption"/>
        <w:keepNext/>
        <w:jc w:val="center"/>
        <w:rPr>
          <w:rFonts w:ascii="Arial" w:hAnsi="Arial" w:cs="Arial"/>
          <w:b/>
        </w:rPr>
      </w:pPr>
      <w:r w:rsidRPr="00375135">
        <w:rPr>
          <w:rFonts w:ascii="Arial" w:hAnsi="Arial" w:cs="Arial"/>
          <w:b/>
        </w:rPr>
        <w:t xml:space="preserve">Table </w:t>
      </w:r>
      <w:r>
        <w:rPr>
          <w:rFonts w:ascii="Arial" w:hAnsi="Arial" w:cs="Arial"/>
          <w:b/>
        </w:rPr>
        <w:t>7</w:t>
      </w:r>
      <w:r w:rsidRPr="00375135">
        <w:rPr>
          <w:rFonts w:ascii="Arial" w:hAnsi="Arial" w:cs="Arial"/>
          <w:b/>
        </w:rPr>
        <w:t xml:space="preserve"> Lag 1 Autocorrelation </w:t>
      </w:r>
      <w:r w:rsidRPr="00375135">
        <w:rPr>
          <w:rFonts w:ascii="Arial" w:hAnsi="Arial" w:cs="Arial"/>
          <w:b/>
          <w:noProof/>
        </w:rPr>
        <w:t>coefficients of Fundamentals from 1963 to 2018</w:t>
      </w:r>
    </w:p>
    <w:tbl>
      <w:tblPr>
        <w:tblStyle w:val="PlainTable2"/>
        <w:tblW w:w="9074" w:type="dxa"/>
        <w:tblCellMar>
          <w:left w:w="28" w:type="dxa"/>
          <w:right w:w="28" w:type="dxa"/>
        </w:tblCellMar>
        <w:tblLook w:val="04A0" w:firstRow="1" w:lastRow="0" w:firstColumn="1" w:lastColumn="0" w:noHBand="0" w:noVBand="1"/>
      </w:tblPr>
      <w:tblGrid>
        <w:gridCol w:w="2494"/>
        <w:gridCol w:w="658"/>
        <w:gridCol w:w="658"/>
        <w:gridCol w:w="658"/>
        <w:gridCol w:w="658"/>
        <w:gridCol w:w="658"/>
        <w:gridCol w:w="658"/>
        <w:gridCol w:w="658"/>
        <w:gridCol w:w="658"/>
        <w:gridCol w:w="658"/>
        <w:gridCol w:w="658"/>
      </w:tblGrid>
      <w:tr w:rsidR="00B54E2C" w:rsidRPr="006B21DF" w:rsidTr="00B54E2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p>
        </w:tc>
        <w:tc>
          <w:tcPr>
            <w:tcW w:w="658" w:type="dxa"/>
            <w:noWrap/>
            <w:vAlign w:val="center"/>
            <w:hideMark/>
          </w:tcPr>
          <w:p w:rsidR="00B54E2C" w:rsidRPr="006B21DF" w:rsidRDefault="00B54E2C"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ROA</w:t>
            </w:r>
          </w:p>
        </w:tc>
        <w:tc>
          <w:tcPr>
            <w:tcW w:w="658" w:type="dxa"/>
            <w:noWrap/>
            <w:vAlign w:val="center"/>
            <w:hideMark/>
          </w:tcPr>
          <w:p w:rsidR="00B54E2C" w:rsidRPr="006B21DF" w:rsidRDefault="00B54E2C"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ROIC</w:t>
            </w:r>
          </w:p>
        </w:tc>
        <w:tc>
          <w:tcPr>
            <w:tcW w:w="658" w:type="dxa"/>
            <w:noWrap/>
            <w:vAlign w:val="center"/>
            <w:hideMark/>
          </w:tcPr>
          <w:p w:rsidR="00B54E2C" w:rsidRPr="006B21DF" w:rsidRDefault="00B54E2C"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ROCE</w:t>
            </w:r>
          </w:p>
        </w:tc>
        <w:tc>
          <w:tcPr>
            <w:tcW w:w="658" w:type="dxa"/>
            <w:noWrap/>
            <w:vAlign w:val="center"/>
            <w:hideMark/>
          </w:tcPr>
          <w:p w:rsidR="00B54E2C" w:rsidRPr="006B21DF" w:rsidRDefault="00B54E2C"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Gross Margin</w:t>
            </w:r>
          </w:p>
        </w:tc>
        <w:tc>
          <w:tcPr>
            <w:tcW w:w="658" w:type="dxa"/>
            <w:noWrap/>
            <w:vAlign w:val="center"/>
            <w:hideMark/>
          </w:tcPr>
          <w:p w:rsidR="00B54E2C" w:rsidRPr="006B21DF" w:rsidRDefault="00B54E2C"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Profit Margin</w:t>
            </w:r>
          </w:p>
        </w:tc>
        <w:tc>
          <w:tcPr>
            <w:tcW w:w="658" w:type="dxa"/>
            <w:noWrap/>
            <w:vAlign w:val="center"/>
            <w:hideMark/>
          </w:tcPr>
          <w:p w:rsidR="00B54E2C" w:rsidRPr="006B21DF" w:rsidRDefault="00B54E2C"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EBITDA Margin</w:t>
            </w:r>
          </w:p>
        </w:tc>
        <w:tc>
          <w:tcPr>
            <w:tcW w:w="658" w:type="dxa"/>
            <w:noWrap/>
            <w:vAlign w:val="center"/>
            <w:hideMark/>
          </w:tcPr>
          <w:p w:rsidR="00B54E2C" w:rsidRPr="006B21DF" w:rsidRDefault="00B54E2C"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Op CF Margin</w:t>
            </w:r>
            <w:r>
              <w:rPr>
                <w:rFonts w:ascii="Arial" w:hAnsi="Arial" w:cs="Arial"/>
                <w:sz w:val="14"/>
                <w:szCs w:val="16"/>
              </w:rPr>
              <w:t>*</w:t>
            </w:r>
          </w:p>
        </w:tc>
        <w:tc>
          <w:tcPr>
            <w:tcW w:w="658" w:type="dxa"/>
            <w:noWrap/>
            <w:vAlign w:val="center"/>
            <w:hideMark/>
          </w:tcPr>
          <w:p w:rsidR="00B54E2C" w:rsidRPr="006B21DF" w:rsidRDefault="00B54E2C"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proofErr w:type="spellStart"/>
            <w:r w:rsidRPr="006B21DF">
              <w:rPr>
                <w:rFonts w:ascii="Arial" w:hAnsi="Arial" w:cs="Arial"/>
                <w:sz w:val="14"/>
                <w:szCs w:val="16"/>
              </w:rPr>
              <w:t>Curr</w:t>
            </w:r>
            <w:proofErr w:type="spellEnd"/>
            <w:r w:rsidRPr="006B21DF">
              <w:rPr>
                <w:rFonts w:ascii="Arial" w:hAnsi="Arial" w:cs="Arial"/>
                <w:sz w:val="14"/>
                <w:szCs w:val="16"/>
              </w:rPr>
              <w:t xml:space="preserve"> Ratio</w:t>
            </w:r>
          </w:p>
        </w:tc>
        <w:tc>
          <w:tcPr>
            <w:tcW w:w="658" w:type="dxa"/>
            <w:noWrap/>
            <w:vAlign w:val="center"/>
            <w:hideMark/>
          </w:tcPr>
          <w:p w:rsidR="00B54E2C" w:rsidRPr="006B21DF" w:rsidRDefault="00B54E2C"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LTDE Ratio</w:t>
            </w:r>
          </w:p>
        </w:tc>
        <w:tc>
          <w:tcPr>
            <w:tcW w:w="658" w:type="dxa"/>
            <w:noWrap/>
            <w:vAlign w:val="center"/>
            <w:hideMark/>
          </w:tcPr>
          <w:p w:rsidR="00B54E2C" w:rsidRPr="006B21DF" w:rsidRDefault="00B54E2C"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Market Cap</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AMERICAN ELECTRIC POWER CO</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0.66</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NORAM ENERGY CORP</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CENTERIOR ENERGY CORP</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-0.08</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-0.27</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-0.04</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0.77</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0.57</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COLUMBIA ENERGY GROUP</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0.22</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0.03</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0.26</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0.35</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0.35</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0.01</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UNICOM CORP</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0.42</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0.58</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0.59</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0.69</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0.73</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0.86</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CONSOLIDATED EDISON INC</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0.76</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0.69</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CONSOLIDATED NATURAL GAS CO</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0.58</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0.49</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0.42</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0.49</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DTE ENERGY CO</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0.11</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0.65</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0.98</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DOMINION ENERGY INC</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0.33</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0.72</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0.44</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0.44</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0.64</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DUKE ENERGY CORP</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0.59</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0.95</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NEXTERA ENERGY INC</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0.43</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0.74</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0.99</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CENTERPOINT ENERGY INC</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0.16</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0.05</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0.36</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ENRON CORP</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0.69</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0.02</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0.48</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NIAGARA MOHAWK HOLDINGS INC</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0.22</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0.24</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0.22</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-0.08</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0.89</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NISOURCE INC</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0.83</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0.34</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FIRSTENERGY CORP</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0.54</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0.61</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0.65</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0.68</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0.95</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PG&amp;E CORP</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0.24</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0.13</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0.23</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0.40</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0.09</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PANENERGY CORP</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0.18</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0.58</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0.49</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PEOPLES ENERGY CORP</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0.59</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0.93</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0.96</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0.79</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EXELON CORP</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0.08</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0.83</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0.83</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0.26</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0.95</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PUBLIC SERVICE ENTRP GRP INC</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0.31</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0.42</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0.78</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0.95</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EDISON INTERNATIONAL</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0.23</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0.32</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0.94</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SOUTHERN CO</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0.64</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0.52</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0.59</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0.99</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ENERGY FUTURE HOLDINGS CORP</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0.59</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WILLIAMS COS INC</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0.34</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0.19</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0.68</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0.19</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0.73</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0.90</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CLEVELAND ELECTRIC ILLUM</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0.89</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0.75</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0.46</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AES CORP</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0.37</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-0.13</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0.69</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0.89</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0.43</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0.54</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AMERICAN WATER WORKS CO INC</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0.89</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0.06</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0.81</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0.91</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0.77</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0.38</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0.45</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0.98</w:t>
            </w:r>
          </w:p>
        </w:tc>
      </w:tr>
    </w:tbl>
    <w:p w:rsidR="00B54E2C" w:rsidRPr="00FD127D" w:rsidRDefault="00B54E2C" w:rsidP="00B54E2C">
      <w:pPr>
        <w:pStyle w:val="Caption"/>
        <w:keepNext/>
        <w:rPr>
          <w:rFonts w:ascii="Arial" w:hAnsi="Arial" w:cs="Arial"/>
          <w:i w:val="0"/>
          <w:iCs w:val="0"/>
          <w:color w:val="auto"/>
          <w:sz w:val="14"/>
          <w:szCs w:val="16"/>
        </w:rPr>
      </w:pPr>
      <w:r w:rsidRPr="00375135">
        <w:rPr>
          <w:rFonts w:ascii="Arial" w:hAnsi="Arial" w:cs="Arial"/>
          <w:i w:val="0"/>
          <w:iCs w:val="0"/>
          <w:color w:val="auto"/>
          <w:sz w:val="14"/>
          <w:szCs w:val="16"/>
        </w:rPr>
        <w:t>*</w:t>
      </w:r>
      <w:r w:rsidRPr="00FD127D">
        <w:rPr>
          <w:rFonts w:ascii="Arial" w:hAnsi="Arial" w:cs="Arial"/>
          <w:i w:val="0"/>
          <w:iCs w:val="0"/>
          <w:color w:val="auto"/>
          <w:sz w:val="14"/>
          <w:szCs w:val="16"/>
        </w:rPr>
        <w:t xml:space="preserve"> Operating cash flow margin data is from 1988 to 2018</w:t>
      </w:r>
    </w:p>
    <w:p w:rsidR="00B54E2C" w:rsidRDefault="00B54E2C" w:rsidP="00B54E2C">
      <w:r>
        <w:br w:type="page"/>
      </w:r>
    </w:p>
    <w:p w:rsidR="00B54E2C" w:rsidRPr="00375135" w:rsidRDefault="00B54E2C" w:rsidP="00B54E2C">
      <w:pPr>
        <w:pStyle w:val="Caption"/>
        <w:keepNext/>
        <w:jc w:val="center"/>
        <w:rPr>
          <w:rFonts w:ascii="Arial" w:hAnsi="Arial" w:cs="Arial"/>
          <w:b/>
        </w:rPr>
      </w:pPr>
      <w:r w:rsidRPr="00375135">
        <w:rPr>
          <w:rFonts w:ascii="Arial" w:hAnsi="Arial" w:cs="Arial"/>
          <w:b/>
        </w:rPr>
        <w:lastRenderedPageBreak/>
        <w:t xml:space="preserve">Table </w:t>
      </w:r>
      <w:r>
        <w:rPr>
          <w:rFonts w:ascii="Arial" w:hAnsi="Arial" w:cs="Arial"/>
          <w:b/>
        </w:rPr>
        <w:t>8</w:t>
      </w:r>
      <w:r w:rsidRPr="00375135">
        <w:rPr>
          <w:rFonts w:ascii="Arial" w:hAnsi="Arial" w:cs="Arial"/>
          <w:b/>
        </w:rPr>
        <w:t xml:space="preserve"> </w:t>
      </w:r>
      <w:r>
        <w:rPr>
          <w:rFonts w:ascii="Arial" w:hAnsi="Arial" w:cs="Arial"/>
          <w:b/>
        </w:rPr>
        <w:t xml:space="preserve">T-statistics of </w:t>
      </w:r>
      <w:proofErr w:type="spellStart"/>
      <w:r w:rsidRPr="00375135">
        <w:rPr>
          <w:rFonts w:ascii="Arial" w:hAnsi="Arial" w:cs="Arial"/>
          <w:b/>
        </w:rPr>
        <w:t>of</w:t>
      </w:r>
      <w:proofErr w:type="spellEnd"/>
      <w:r w:rsidRPr="00375135">
        <w:rPr>
          <w:rFonts w:ascii="Arial" w:hAnsi="Arial" w:cs="Arial"/>
          <w:b/>
        </w:rPr>
        <w:t xml:space="preserve"> Lag 1 Autocorrelation</w:t>
      </w:r>
      <w:r>
        <w:rPr>
          <w:rFonts w:ascii="Arial" w:hAnsi="Arial" w:cs="Arial"/>
          <w:b/>
        </w:rPr>
        <w:t xml:space="preserve"> for Significance Test*</w:t>
      </w:r>
    </w:p>
    <w:tbl>
      <w:tblPr>
        <w:tblStyle w:val="PlainTable2"/>
        <w:tblW w:w="9074" w:type="dxa"/>
        <w:tblCellMar>
          <w:left w:w="28" w:type="dxa"/>
          <w:right w:w="28" w:type="dxa"/>
        </w:tblCellMar>
        <w:tblLook w:val="04A0" w:firstRow="1" w:lastRow="0" w:firstColumn="1" w:lastColumn="0" w:noHBand="0" w:noVBand="1"/>
      </w:tblPr>
      <w:tblGrid>
        <w:gridCol w:w="2494"/>
        <w:gridCol w:w="658"/>
        <w:gridCol w:w="658"/>
        <w:gridCol w:w="658"/>
        <w:gridCol w:w="658"/>
        <w:gridCol w:w="658"/>
        <w:gridCol w:w="658"/>
        <w:gridCol w:w="658"/>
        <w:gridCol w:w="658"/>
        <w:gridCol w:w="658"/>
        <w:gridCol w:w="658"/>
      </w:tblGrid>
      <w:tr w:rsidR="00B54E2C" w:rsidRPr="006B21DF" w:rsidTr="00B54E2C">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p>
        </w:tc>
        <w:tc>
          <w:tcPr>
            <w:tcW w:w="658" w:type="dxa"/>
            <w:noWrap/>
            <w:vAlign w:val="center"/>
            <w:hideMark/>
          </w:tcPr>
          <w:p w:rsidR="00B54E2C" w:rsidRPr="006B21DF" w:rsidRDefault="00B54E2C"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ROA</w:t>
            </w:r>
          </w:p>
        </w:tc>
        <w:tc>
          <w:tcPr>
            <w:tcW w:w="658" w:type="dxa"/>
            <w:noWrap/>
            <w:vAlign w:val="center"/>
            <w:hideMark/>
          </w:tcPr>
          <w:p w:rsidR="00B54E2C" w:rsidRPr="006B21DF" w:rsidRDefault="00B54E2C"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ROIC</w:t>
            </w:r>
          </w:p>
        </w:tc>
        <w:tc>
          <w:tcPr>
            <w:tcW w:w="658" w:type="dxa"/>
            <w:noWrap/>
            <w:vAlign w:val="center"/>
            <w:hideMark/>
          </w:tcPr>
          <w:p w:rsidR="00B54E2C" w:rsidRPr="006B21DF" w:rsidRDefault="00B54E2C"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ROCE</w:t>
            </w:r>
          </w:p>
        </w:tc>
        <w:tc>
          <w:tcPr>
            <w:tcW w:w="658" w:type="dxa"/>
            <w:noWrap/>
            <w:vAlign w:val="center"/>
            <w:hideMark/>
          </w:tcPr>
          <w:p w:rsidR="00B54E2C" w:rsidRPr="006B21DF" w:rsidRDefault="00B54E2C"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Gross Margin</w:t>
            </w:r>
          </w:p>
        </w:tc>
        <w:tc>
          <w:tcPr>
            <w:tcW w:w="658" w:type="dxa"/>
            <w:noWrap/>
            <w:vAlign w:val="center"/>
            <w:hideMark/>
          </w:tcPr>
          <w:p w:rsidR="00B54E2C" w:rsidRPr="006B21DF" w:rsidRDefault="00B54E2C"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Profit Margin</w:t>
            </w:r>
          </w:p>
        </w:tc>
        <w:tc>
          <w:tcPr>
            <w:tcW w:w="658" w:type="dxa"/>
            <w:noWrap/>
            <w:vAlign w:val="center"/>
            <w:hideMark/>
          </w:tcPr>
          <w:p w:rsidR="00B54E2C" w:rsidRPr="006B21DF" w:rsidRDefault="00B54E2C"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EBITDA Margin</w:t>
            </w:r>
          </w:p>
        </w:tc>
        <w:tc>
          <w:tcPr>
            <w:tcW w:w="658" w:type="dxa"/>
            <w:noWrap/>
            <w:vAlign w:val="center"/>
            <w:hideMark/>
          </w:tcPr>
          <w:p w:rsidR="00B54E2C" w:rsidRPr="006B21DF" w:rsidRDefault="00B54E2C"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Op CF Margin</w:t>
            </w:r>
            <w:r>
              <w:rPr>
                <w:rFonts w:ascii="Arial" w:hAnsi="Arial" w:cs="Arial"/>
                <w:sz w:val="14"/>
                <w:szCs w:val="16"/>
              </w:rPr>
              <w:t>*</w:t>
            </w:r>
          </w:p>
        </w:tc>
        <w:tc>
          <w:tcPr>
            <w:tcW w:w="658" w:type="dxa"/>
            <w:noWrap/>
            <w:vAlign w:val="center"/>
            <w:hideMark/>
          </w:tcPr>
          <w:p w:rsidR="00B54E2C" w:rsidRPr="006B21DF" w:rsidRDefault="00B54E2C"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proofErr w:type="spellStart"/>
            <w:r w:rsidRPr="006B21DF">
              <w:rPr>
                <w:rFonts w:ascii="Arial" w:hAnsi="Arial" w:cs="Arial"/>
                <w:sz w:val="14"/>
                <w:szCs w:val="16"/>
              </w:rPr>
              <w:t>Curr</w:t>
            </w:r>
            <w:proofErr w:type="spellEnd"/>
            <w:r w:rsidRPr="006B21DF">
              <w:rPr>
                <w:rFonts w:ascii="Arial" w:hAnsi="Arial" w:cs="Arial"/>
                <w:sz w:val="14"/>
                <w:szCs w:val="16"/>
              </w:rPr>
              <w:t xml:space="preserve"> Ratio</w:t>
            </w:r>
          </w:p>
        </w:tc>
        <w:tc>
          <w:tcPr>
            <w:tcW w:w="658" w:type="dxa"/>
            <w:noWrap/>
            <w:vAlign w:val="center"/>
            <w:hideMark/>
          </w:tcPr>
          <w:p w:rsidR="00B54E2C" w:rsidRPr="006B21DF" w:rsidRDefault="00B54E2C"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LTDE Ratio</w:t>
            </w:r>
          </w:p>
        </w:tc>
        <w:tc>
          <w:tcPr>
            <w:tcW w:w="658" w:type="dxa"/>
            <w:noWrap/>
            <w:vAlign w:val="center"/>
            <w:hideMark/>
          </w:tcPr>
          <w:p w:rsidR="00B54E2C" w:rsidRPr="006B21DF" w:rsidRDefault="00B54E2C" w:rsidP="00D544E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4"/>
                <w:szCs w:val="16"/>
              </w:rPr>
            </w:pPr>
            <w:r w:rsidRPr="006B21DF">
              <w:rPr>
                <w:rFonts w:ascii="Arial" w:hAnsi="Arial" w:cs="Arial"/>
                <w:sz w:val="14"/>
                <w:szCs w:val="16"/>
              </w:rPr>
              <w:t>Market Cap</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AMERICAN ELECTRIC POWER CO</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6.53</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-0.03</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12.75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13.77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12.22</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13.77</w:t>
            </w:r>
          </w:p>
        </w:tc>
        <w:tc>
          <w:tcPr>
            <w:tcW w:w="658" w:type="dxa"/>
            <w:noWrap/>
            <w:vAlign w:val="center"/>
            <w:hideMark/>
          </w:tcPr>
          <w:p w:rsidR="00B54E2C" w:rsidRPr="00375135" w:rsidRDefault="00B54E2C" w:rsidP="00D544E1">
            <w:pPr>
              <w:widowControl w:val="0"/>
              <w:wordWrap w:val="0"/>
              <w:autoSpaceDE w:val="0"/>
              <w:autoSpaceDN w:val="0"/>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6.04</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9.48</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10.37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31.95</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NORAM ENERGY CORP</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6.14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7.87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7.87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7.87</w:t>
            </w:r>
          </w:p>
        </w:tc>
        <w:tc>
          <w:tcPr>
            <w:tcW w:w="658" w:type="dxa"/>
            <w:shd w:val="clear" w:color="auto" w:fill="FBE4D5" w:themeFill="accent2" w:themeFillTint="33"/>
            <w:noWrap/>
            <w:vAlign w:val="center"/>
            <w:hideMark/>
          </w:tcPr>
          <w:p w:rsidR="00B54E2C" w:rsidRPr="00375135"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-1.54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6.33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7.35</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8.99</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CENTERIOR ENERGY CORP</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-0.13</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-0.84</w:t>
            </w:r>
          </w:p>
        </w:tc>
        <w:tc>
          <w:tcPr>
            <w:tcW w:w="658" w:type="dxa"/>
            <w:noWrap/>
            <w:vAlign w:val="center"/>
            <w:hideMark/>
          </w:tcPr>
          <w:p w:rsidR="00B54E2C" w:rsidRPr="00375135"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3.24</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-0.22</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1.80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2.06</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COLUMBIA ENERGY GROUP</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1.31</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0.14</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2.24</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1.23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2.24</w:t>
            </w:r>
          </w:p>
        </w:tc>
        <w:tc>
          <w:tcPr>
            <w:tcW w:w="658" w:type="dxa"/>
            <w:shd w:val="clear" w:color="auto" w:fill="FBE4D5" w:themeFill="accent2" w:themeFillTint="33"/>
            <w:noWrap/>
            <w:vAlign w:val="center"/>
            <w:hideMark/>
          </w:tcPr>
          <w:p w:rsidR="00B54E2C" w:rsidRPr="00375135"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0.02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4.38</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6.55</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14.30</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UNICOM CORP</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4.10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2.76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4.23</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7.55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4.33</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7.55</w:t>
            </w:r>
          </w:p>
        </w:tc>
        <w:tc>
          <w:tcPr>
            <w:tcW w:w="658" w:type="dxa"/>
            <w:shd w:val="clear" w:color="auto" w:fill="FBE4D5" w:themeFill="accent2" w:themeFillTint="33"/>
            <w:noWrap/>
            <w:vAlign w:val="center"/>
            <w:hideMark/>
          </w:tcPr>
          <w:p w:rsidR="00B54E2C" w:rsidRPr="00375135"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-0.80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5.61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6.30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10.13</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CONSOLIDATED EDISON INC</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17.44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14.87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16.84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14.95</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8.73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14.95</w:t>
            </w:r>
          </w:p>
        </w:tc>
        <w:tc>
          <w:tcPr>
            <w:tcW w:w="658" w:type="dxa"/>
            <w:noWrap/>
            <w:vAlign w:val="center"/>
            <w:hideMark/>
          </w:tcPr>
          <w:p w:rsidR="00B54E2C" w:rsidRPr="00375135"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5.09</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7.90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20.42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31.09</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CONSOLIDATED NATURAL GAS CO</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2.61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3.86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2.92</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3.34</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2.70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3.34</w:t>
            </w:r>
          </w:p>
        </w:tc>
        <w:tc>
          <w:tcPr>
            <w:tcW w:w="658" w:type="dxa"/>
            <w:shd w:val="clear" w:color="auto" w:fill="FBE4D5" w:themeFill="accent2" w:themeFillTint="33"/>
            <w:noWrap/>
            <w:vAlign w:val="center"/>
            <w:hideMark/>
          </w:tcPr>
          <w:p w:rsidR="00B54E2C" w:rsidRPr="00375135"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-1.27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6.04</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13.10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25.57</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DTE ENERGY CO</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0.51</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5.13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4.11</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5.92</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0.58</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5.92</w:t>
            </w:r>
          </w:p>
        </w:tc>
        <w:tc>
          <w:tcPr>
            <w:tcW w:w="658" w:type="dxa"/>
            <w:noWrap/>
            <w:vAlign w:val="center"/>
            <w:hideMark/>
          </w:tcPr>
          <w:p w:rsidR="00B54E2C" w:rsidRPr="00375135"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3.91</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2.13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3.63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36.16</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DOMINION ENERGY INC</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2.04</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2.94</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5.79</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6.83</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2.84</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6.83</w:t>
            </w:r>
          </w:p>
        </w:tc>
        <w:tc>
          <w:tcPr>
            <w:tcW w:w="658" w:type="dxa"/>
            <w:noWrap/>
            <w:vAlign w:val="center"/>
            <w:hideMark/>
          </w:tcPr>
          <w:p w:rsidR="00B54E2C" w:rsidRPr="00375135"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2.61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4.82</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8.85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24.83</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DUKE ENERGY CORP</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8.93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8.99</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9.46</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11.22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8.21</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11.22</w:t>
            </w:r>
          </w:p>
        </w:tc>
        <w:tc>
          <w:tcPr>
            <w:tcW w:w="658" w:type="dxa"/>
            <w:noWrap/>
            <w:vAlign w:val="center"/>
            <w:hideMark/>
          </w:tcPr>
          <w:p w:rsidR="00B54E2C" w:rsidRPr="00375135"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3.97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5.77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12.00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23.23</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NEXTERA ENERGY INC</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3.50</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0.74</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8.26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11.95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10.36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11.95</w:t>
            </w:r>
          </w:p>
        </w:tc>
        <w:tc>
          <w:tcPr>
            <w:tcW w:w="658" w:type="dxa"/>
            <w:noWrap/>
            <w:vAlign w:val="center"/>
            <w:hideMark/>
          </w:tcPr>
          <w:p w:rsidR="00B54E2C" w:rsidRPr="00375135"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5.86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4.81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12.00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50.16</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CENTERPOINT ENERGY INC</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1.19</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0.38</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15.90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20.81</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2.88</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20.81</w:t>
            </w:r>
          </w:p>
        </w:tc>
        <w:tc>
          <w:tcPr>
            <w:tcW w:w="658" w:type="dxa"/>
            <w:noWrap/>
            <w:vAlign w:val="center"/>
            <w:hideMark/>
          </w:tcPr>
          <w:p w:rsidR="00B54E2C" w:rsidRPr="00375135"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5.48</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7.53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11.58</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15.11</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ENRON CORP</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5.74</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1.99</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10.64</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23.25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9.54</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23.25</w:t>
            </w:r>
          </w:p>
        </w:tc>
        <w:tc>
          <w:tcPr>
            <w:tcW w:w="658" w:type="dxa"/>
            <w:shd w:val="clear" w:color="auto" w:fill="FBE4D5" w:themeFill="accent2" w:themeFillTint="33"/>
            <w:noWrap/>
            <w:vAlign w:val="center"/>
            <w:hideMark/>
          </w:tcPr>
          <w:p w:rsidR="00B54E2C" w:rsidRPr="00375135"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0.06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3.96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8.15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3.34</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NIAGARA MOHAWK HOLDINGS INC</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1.34</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1.51</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1.34</w:t>
            </w:r>
          </w:p>
        </w:tc>
        <w:tc>
          <w:tcPr>
            <w:tcW w:w="658" w:type="dxa"/>
            <w:shd w:val="clear" w:color="auto" w:fill="FBE4D5" w:themeFill="accent2" w:themeFillTint="33"/>
            <w:noWrap/>
            <w:vAlign w:val="center"/>
            <w:hideMark/>
          </w:tcPr>
          <w:p w:rsidR="00B54E2C" w:rsidRPr="00375135"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-0.28</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3.78</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6.31</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11.80</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NISOURCE INC</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10.87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6.10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12.87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13.37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11.64</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13.37</w:t>
            </w:r>
          </w:p>
        </w:tc>
        <w:tc>
          <w:tcPr>
            <w:tcW w:w="658" w:type="dxa"/>
            <w:noWrap/>
            <w:vAlign w:val="center"/>
            <w:hideMark/>
          </w:tcPr>
          <w:p w:rsidR="00B54E2C" w:rsidRPr="00375135"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1.95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8.54</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8.55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15.88</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FIRSTENERGY CORP</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4.71</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0.95</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6.93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14.90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5.72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14.90</w:t>
            </w:r>
          </w:p>
        </w:tc>
        <w:tc>
          <w:tcPr>
            <w:tcW w:w="658" w:type="dxa"/>
            <w:noWrap/>
            <w:vAlign w:val="center"/>
            <w:hideMark/>
          </w:tcPr>
          <w:p w:rsidR="00B54E2C" w:rsidRPr="00375135"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4.59</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6.77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6.09</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21.25</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PG&amp;E CORP</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1.80</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0.88</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1.62</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9.91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1.90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9.91</w:t>
            </w:r>
          </w:p>
        </w:tc>
        <w:tc>
          <w:tcPr>
            <w:tcW w:w="658" w:type="dxa"/>
            <w:noWrap/>
            <w:vAlign w:val="center"/>
            <w:hideMark/>
          </w:tcPr>
          <w:p w:rsidR="00B54E2C" w:rsidRPr="00375135"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2.35</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0.70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7.37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17.20</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PANENERGY CORP</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1.05</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3.95</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3.12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7.97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2.04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7.97</w:t>
            </w:r>
          </w:p>
        </w:tc>
        <w:tc>
          <w:tcPr>
            <w:tcW w:w="658" w:type="dxa"/>
            <w:shd w:val="clear" w:color="auto" w:fill="FBE4D5" w:themeFill="accent2" w:themeFillTint="33"/>
            <w:noWrap/>
            <w:vAlign w:val="center"/>
            <w:hideMark/>
          </w:tcPr>
          <w:p w:rsidR="00B54E2C" w:rsidRPr="00375135"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-1.62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4.21</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8.99</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11.59</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PEOPLES ENERGY CORP</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5.46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4.38</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8.66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22.36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16.19</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22.36</w:t>
            </w:r>
          </w:p>
        </w:tc>
        <w:tc>
          <w:tcPr>
            <w:tcW w:w="658" w:type="dxa"/>
            <w:shd w:val="clear" w:color="auto" w:fill="FBE4D5" w:themeFill="accent2" w:themeFillTint="33"/>
            <w:noWrap/>
            <w:vAlign w:val="center"/>
            <w:hideMark/>
          </w:tcPr>
          <w:p w:rsidR="00B54E2C" w:rsidRPr="00375135"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-0.22</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13.62</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9.42</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8.49</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EXELON CORP</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0.61</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6.87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6.31</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11.03</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1.51</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11.03</w:t>
            </w:r>
          </w:p>
        </w:tc>
        <w:tc>
          <w:tcPr>
            <w:tcW w:w="658" w:type="dxa"/>
            <w:shd w:val="clear" w:color="auto" w:fill="FBE4D5" w:themeFill="accent2" w:themeFillTint="33"/>
            <w:noWrap/>
            <w:vAlign w:val="center"/>
            <w:hideMark/>
          </w:tcPr>
          <w:p w:rsidR="00B54E2C" w:rsidRPr="00375135"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1.43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4.73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3.44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21.48</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PUBLIC SERVICE ENTRP GRP INC</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2.42</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8.34</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12.90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3.43</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12.90</w:t>
            </w:r>
          </w:p>
        </w:tc>
        <w:tc>
          <w:tcPr>
            <w:tcW w:w="658" w:type="dxa"/>
            <w:noWrap/>
            <w:vAlign w:val="center"/>
            <w:hideMark/>
          </w:tcPr>
          <w:p w:rsidR="00B54E2C" w:rsidRPr="00375135"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6.76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7.47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16.07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23.12</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EDISON INTERNATIONAL</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5.10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1.69</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0.92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2.50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4.53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2.50</w:t>
            </w:r>
          </w:p>
        </w:tc>
        <w:tc>
          <w:tcPr>
            <w:tcW w:w="658" w:type="dxa"/>
            <w:shd w:val="clear" w:color="auto" w:fill="FBE4D5" w:themeFill="accent2" w:themeFillTint="33"/>
            <w:noWrap/>
            <w:vAlign w:val="center"/>
            <w:hideMark/>
          </w:tcPr>
          <w:p w:rsidR="00B54E2C" w:rsidRPr="00375135"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0.92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5.76</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11.04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21.11</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SOUTHERN CO</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6.17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12.18</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7.90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14.77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4.52</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14.77</w:t>
            </w:r>
          </w:p>
        </w:tc>
        <w:tc>
          <w:tcPr>
            <w:tcW w:w="658" w:type="dxa"/>
            <w:noWrap/>
            <w:vAlign w:val="center"/>
            <w:hideMark/>
          </w:tcPr>
          <w:p w:rsidR="00B54E2C" w:rsidRPr="00375135"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3.90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10.10</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8.45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43.75</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ENERGY FUTURE HOLDINGS CORP</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2.20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9.23</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8.85</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16.77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2.82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16.77</w:t>
            </w:r>
          </w:p>
        </w:tc>
        <w:tc>
          <w:tcPr>
            <w:tcW w:w="658" w:type="dxa"/>
            <w:noWrap/>
            <w:vAlign w:val="center"/>
            <w:hideMark/>
          </w:tcPr>
          <w:p w:rsidR="00B54E2C" w:rsidRPr="00375135"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2.84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5.24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4.72</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6.48</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WILLIAMS COS INC</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2.36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2.61</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1.43</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6.73</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1.46</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7.79</w:t>
            </w:r>
          </w:p>
        </w:tc>
        <w:tc>
          <w:tcPr>
            <w:tcW w:w="658" w:type="dxa"/>
            <w:noWrap/>
            <w:vAlign w:val="center"/>
            <w:hideMark/>
          </w:tcPr>
          <w:p w:rsidR="00B54E2C" w:rsidRPr="00375135"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4.67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11.77</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7.11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15.23</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CLEVELAND ELECTRIC ILLUM</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6.01</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3.16</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7.67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10.79</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7.00</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10.79</w:t>
            </w:r>
          </w:p>
        </w:tc>
        <w:tc>
          <w:tcPr>
            <w:tcW w:w="658" w:type="dxa"/>
            <w:noWrap/>
            <w:vAlign w:val="center"/>
            <w:hideMark/>
          </w:tcPr>
          <w:p w:rsidR="00B54E2C" w:rsidRPr="00375135"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2.37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3.17</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9.95</w:t>
            </w:r>
          </w:p>
        </w:tc>
      </w:tr>
      <w:tr w:rsidR="00B54E2C" w:rsidRPr="006B21DF" w:rsidTr="00B54E2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AES CORP</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2.00</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-0.65</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4.83</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10.21</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2.29</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10.97</w:t>
            </w:r>
          </w:p>
        </w:tc>
        <w:tc>
          <w:tcPr>
            <w:tcW w:w="658" w:type="dxa"/>
            <w:noWrap/>
            <w:vAlign w:val="center"/>
            <w:hideMark/>
          </w:tcPr>
          <w:p w:rsidR="00B54E2C" w:rsidRPr="00375135"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375135">
              <w:rPr>
                <w:rFonts w:ascii="Arial" w:hAnsi="Arial" w:cs="Arial"/>
                <w:sz w:val="14"/>
                <w:szCs w:val="14"/>
              </w:rPr>
              <w:t>2.69</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2.44</w:t>
            </w:r>
          </w:p>
        </w:tc>
        <w:tc>
          <w:tcPr>
            <w:tcW w:w="658" w:type="dxa"/>
            <w:shd w:val="clear" w:color="auto" w:fill="FBE4D5" w:themeFill="accent2" w:themeFillTint="33"/>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-1.08</w:t>
            </w:r>
          </w:p>
        </w:tc>
        <w:tc>
          <w:tcPr>
            <w:tcW w:w="658" w:type="dxa"/>
            <w:noWrap/>
            <w:vAlign w:val="center"/>
            <w:hideMark/>
          </w:tcPr>
          <w:p w:rsidR="00B54E2C" w:rsidRPr="00430270" w:rsidRDefault="00B54E2C" w:rsidP="00D544E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4"/>
                <w:szCs w:val="14"/>
              </w:rPr>
            </w:pPr>
            <w:r w:rsidRPr="00430270">
              <w:rPr>
                <w:rFonts w:ascii="Arial" w:hAnsi="Arial" w:cs="Arial"/>
                <w:sz w:val="14"/>
                <w:szCs w:val="14"/>
              </w:rPr>
              <w:t>3.31</w:t>
            </w:r>
          </w:p>
        </w:tc>
      </w:tr>
      <w:tr w:rsidR="00B54E2C" w:rsidRPr="006B21DF" w:rsidTr="00B54E2C">
        <w:trPr>
          <w:trHeight w:val="227"/>
        </w:trPr>
        <w:tc>
          <w:tcPr>
            <w:cnfStyle w:val="001000000000" w:firstRow="0" w:lastRow="0" w:firstColumn="1" w:lastColumn="0" w:oddVBand="0" w:evenVBand="0" w:oddHBand="0" w:evenHBand="0" w:firstRowFirstColumn="0" w:firstRowLastColumn="0" w:lastRowFirstColumn="0" w:lastRowLastColumn="0"/>
            <w:tcW w:w="2494" w:type="dxa"/>
            <w:noWrap/>
            <w:vAlign w:val="center"/>
            <w:hideMark/>
          </w:tcPr>
          <w:p w:rsidR="00B54E2C" w:rsidRPr="006B21DF" w:rsidRDefault="00B54E2C" w:rsidP="00D544E1">
            <w:pPr>
              <w:jc w:val="center"/>
              <w:rPr>
                <w:rFonts w:ascii="Arial" w:hAnsi="Arial" w:cs="Arial"/>
                <w:sz w:val="14"/>
                <w:szCs w:val="16"/>
              </w:rPr>
            </w:pPr>
            <w:r w:rsidRPr="006B21DF">
              <w:rPr>
                <w:rFonts w:ascii="Arial" w:hAnsi="Arial" w:cs="Arial"/>
                <w:sz w:val="14"/>
                <w:szCs w:val="16"/>
              </w:rPr>
              <w:t>AMERICAN WATER WORKS CO INC</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5.88</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0.18</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4.09</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11.54</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6.38</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11.54</w:t>
            </w:r>
          </w:p>
        </w:tc>
        <w:tc>
          <w:tcPr>
            <w:tcW w:w="658" w:type="dxa"/>
            <w:noWrap/>
            <w:vAlign w:val="center"/>
            <w:hideMark/>
          </w:tcPr>
          <w:p w:rsidR="00B54E2C" w:rsidRPr="00375135"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375135">
              <w:rPr>
                <w:rFonts w:ascii="Arial" w:hAnsi="Arial" w:cs="Arial"/>
                <w:sz w:val="14"/>
                <w:szCs w:val="14"/>
              </w:rPr>
              <w:t>6.14</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1.25</w:t>
            </w:r>
          </w:p>
        </w:tc>
        <w:tc>
          <w:tcPr>
            <w:tcW w:w="658" w:type="dxa"/>
            <w:shd w:val="clear" w:color="auto" w:fill="FBE4D5" w:themeFill="accent2" w:themeFillTint="33"/>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1.49</w:t>
            </w:r>
          </w:p>
        </w:tc>
        <w:tc>
          <w:tcPr>
            <w:tcW w:w="658" w:type="dxa"/>
            <w:noWrap/>
            <w:vAlign w:val="center"/>
            <w:hideMark/>
          </w:tcPr>
          <w:p w:rsidR="00B54E2C" w:rsidRPr="00430270" w:rsidRDefault="00B54E2C" w:rsidP="00D544E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4"/>
                <w:szCs w:val="14"/>
              </w:rPr>
            </w:pPr>
            <w:r w:rsidRPr="00430270">
              <w:rPr>
                <w:rFonts w:ascii="Arial" w:hAnsi="Arial" w:cs="Arial"/>
                <w:sz w:val="14"/>
                <w:szCs w:val="14"/>
              </w:rPr>
              <w:t>14.30</w:t>
            </w:r>
          </w:p>
        </w:tc>
      </w:tr>
    </w:tbl>
    <w:p w:rsidR="00B54E2C" w:rsidRDefault="00B54E2C" w:rsidP="00B54E2C">
      <w:pPr>
        <w:pStyle w:val="Caption"/>
        <w:keepNext/>
        <w:spacing w:after="0"/>
        <w:rPr>
          <w:rFonts w:ascii="Arial" w:hAnsi="Arial" w:cs="Arial"/>
          <w:i w:val="0"/>
          <w:iCs w:val="0"/>
          <w:color w:val="auto"/>
          <w:sz w:val="14"/>
          <w:szCs w:val="16"/>
        </w:rPr>
      </w:pPr>
      <w:r>
        <w:rPr>
          <w:rFonts w:ascii="Arial" w:hAnsi="Arial" w:cs="Arial"/>
          <w:i w:val="0"/>
          <w:iCs w:val="0"/>
          <w:color w:val="auto"/>
          <w:sz w:val="14"/>
          <w:szCs w:val="16"/>
        </w:rPr>
        <w:t>* Critical value of 5% significance level is 1.645</w:t>
      </w:r>
    </w:p>
    <w:p w:rsidR="00B54E2C" w:rsidRPr="002F7D05" w:rsidRDefault="00B54E2C" w:rsidP="00B54E2C">
      <w:pPr>
        <w:pStyle w:val="Caption"/>
        <w:keepNext/>
        <w:spacing w:after="0"/>
        <w:rPr>
          <w:rFonts w:ascii="Arial" w:hAnsi="Arial" w:cs="Arial"/>
          <w:i w:val="0"/>
          <w:iCs w:val="0"/>
          <w:color w:val="auto"/>
          <w:sz w:val="14"/>
          <w:szCs w:val="16"/>
        </w:rPr>
      </w:pPr>
      <w:r w:rsidRPr="00375135">
        <w:rPr>
          <w:rFonts w:ascii="Arial" w:hAnsi="Arial" w:cs="Arial"/>
          <w:i w:val="0"/>
          <w:iCs w:val="0"/>
          <w:color w:val="auto"/>
          <w:sz w:val="14"/>
          <w:szCs w:val="16"/>
        </w:rPr>
        <w:t>*</w:t>
      </w:r>
      <w:r w:rsidRPr="002F7D05">
        <w:rPr>
          <w:rFonts w:ascii="Arial" w:hAnsi="Arial" w:cs="Arial"/>
          <w:i w:val="0"/>
          <w:iCs w:val="0"/>
          <w:color w:val="auto"/>
          <w:sz w:val="14"/>
          <w:szCs w:val="16"/>
        </w:rPr>
        <w:t xml:space="preserve"> Operating cash flow margin data is from 1988 to 2018</w:t>
      </w:r>
    </w:p>
    <w:p w:rsidR="00D061F3" w:rsidRDefault="00D061F3" w:rsidP="00AA4F69">
      <w:pPr>
        <w:spacing w:after="0" w:line="276" w:lineRule="auto"/>
        <w:jc w:val="both"/>
        <w:rPr>
          <w:b/>
        </w:rPr>
      </w:pPr>
      <w:bookmarkStart w:id="0" w:name="_GoBack"/>
      <w:bookmarkEnd w:id="0"/>
    </w:p>
    <w:p w:rsidR="00F11C8B" w:rsidRDefault="00F11C8B" w:rsidP="00AA4F69">
      <w:pPr>
        <w:spacing w:after="0" w:line="276" w:lineRule="auto"/>
        <w:jc w:val="both"/>
        <w:rPr>
          <w:b/>
        </w:rPr>
      </w:pPr>
      <w:r>
        <w:rPr>
          <w:b/>
        </w:rPr>
        <w:t xml:space="preserve">Section 5: </w:t>
      </w:r>
      <w:r w:rsidRPr="0091639B">
        <w:rPr>
          <w:b/>
        </w:rPr>
        <w:t>Further Regression Studies</w:t>
      </w:r>
    </w:p>
    <w:p w:rsidR="00F11C8B" w:rsidRPr="00602624" w:rsidRDefault="00F11C8B" w:rsidP="00AA4F69">
      <w:pPr>
        <w:spacing w:after="0" w:line="276" w:lineRule="auto"/>
        <w:jc w:val="both"/>
      </w:pPr>
      <w:r w:rsidRPr="00602624">
        <w:rPr>
          <w:rFonts w:hint="eastAsia"/>
        </w:rPr>
        <w:t>O</w:t>
      </w:r>
      <w:r w:rsidRPr="00602624">
        <w:t xml:space="preserve">n this part, we are trying to “break down” all the fundamental weighted indices by running OLS on Total Return vs Fundamental Factors and Price Return vs Fundamental Factors and try to explain the reason why certain index can or cannot outperform the Price/Market Cap weighted index. </w:t>
      </w:r>
      <w:proofErr w:type="gramStart"/>
      <w:r w:rsidRPr="00602624">
        <w:t>So</w:t>
      </w:r>
      <w:proofErr w:type="gramEnd"/>
      <w:r w:rsidRPr="00602624">
        <w:t xml:space="preserve"> we first observe the result for regression between Return vs Market Cap, we can definitely get 0 beta outcome. </w:t>
      </w:r>
      <w:proofErr w:type="gramStart"/>
      <w:r w:rsidRPr="00602624">
        <w:t>So</w:t>
      </w:r>
      <w:proofErr w:type="gramEnd"/>
      <w:r w:rsidRPr="00602624">
        <w:t xml:space="preserve"> using this as a benchmark, any negative beta can be </w:t>
      </w:r>
      <w:r w:rsidR="00171A54" w:rsidRPr="00602624">
        <w:t xml:space="preserve">translated as this factor are generating negative effect on return for this certain company, on the opposite, a factor with positive beta can be seen as a return generator. </w:t>
      </w:r>
    </w:p>
    <w:p w:rsidR="00171A54" w:rsidRPr="00602624" w:rsidRDefault="00171A54" w:rsidP="00AA4F69">
      <w:pPr>
        <w:spacing w:after="0" w:line="276" w:lineRule="auto"/>
        <w:jc w:val="both"/>
      </w:pPr>
    </w:p>
    <w:p w:rsidR="00B85642" w:rsidRPr="00602624" w:rsidRDefault="00171A54" w:rsidP="007731E0">
      <w:pPr>
        <w:spacing w:after="0" w:line="276" w:lineRule="auto"/>
        <w:jc w:val="both"/>
      </w:pPr>
      <w:r w:rsidRPr="00602624">
        <w:t xml:space="preserve">Consisting with the former part of the report, when we refers to ROIC-weighted </w:t>
      </w:r>
      <w:proofErr w:type="gramStart"/>
      <w:r w:rsidRPr="00602624">
        <w:t xml:space="preserve">index, </w:t>
      </w:r>
      <w:r w:rsidR="007731E0" w:rsidRPr="00602624">
        <w:t xml:space="preserve"> we</w:t>
      </w:r>
      <w:proofErr w:type="gramEnd"/>
      <w:r w:rsidR="007731E0" w:rsidRPr="00602624">
        <w:t xml:space="preserve"> can see the majority of beta are highly positive and  ROCE regression procedure are also with the same feature, but for those three ROA, Profit Margin and LTDE ratio, the negative or unsolid beta may explain all the underperformance.</w:t>
      </w:r>
    </w:p>
    <w:p w:rsidR="007731E0" w:rsidRDefault="007731E0" w:rsidP="007731E0">
      <w:pPr>
        <w:spacing w:after="0" w:line="276" w:lineRule="auto"/>
        <w:jc w:val="both"/>
        <w:rPr>
          <w:b/>
        </w:rPr>
      </w:pPr>
    </w:p>
    <w:p w:rsidR="00AA4F69" w:rsidRDefault="00B24836" w:rsidP="00AA4F69">
      <w:pPr>
        <w:spacing w:after="0" w:line="276" w:lineRule="auto"/>
        <w:jc w:val="both"/>
        <w:rPr>
          <w:b/>
        </w:rPr>
      </w:pPr>
      <w:r>
        <w:rPr>
          <w:b/>
        </w:rPr>
        <w:t xml:space="preserve"> Regression for Price </w:t>
      </w:r>
      <w:r>
        <w:rPr>
          <w:rFonts w:hint="eastAsia"/>
          <w:b/>
        </w:rPr>
        <w:t>R</w:t>
      </w:r>
      <w:r>
        <w:rPr>
          <w:b/>
        </w:rPr>
        <w:t>eturn</w:t>
      </w:r>
      <w:r w:rsidR="00B85642">
        <w:rPr>
          <w:b/>
        </w:rPr>
        <w:t>:</w:t>
      </w:r>
    </w:p>
    <w:p w:rsidR="00B85642" w:rsidRDefault="00B85642" w:rsidP="00AA4F69">
      <w:pPr>
        <w:spacing w:after="0" w:line="276" w:lineRule="auto"/>
        <w:jc w:val="both"/>
        <w:rPr>
          <w:b/>
        </w:rPr>
      </w:pPr>
      <w:r>
        <w:rPr>
          <w:noProof/>
        </w:rPr>
        <w:lastRenderedPageBreak/>
        <w:drawing>
          <wp:inline distT="0" distB="0" distL="0" distR="0" wp14:anchorId="4B1CC090" wp14:editId="4E3EE27E">
            <wp:extent cx="5731510" cy="2726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26690"/>
                    </a:xfrm>
                    <a:prstGeom prst="rect">
                      <a:avLst/>
                    </a:prstGeom>
                  </pic:spPr>
                </pic:pic>
              </a:graphicData>
            </a:graphic>
          </wp:inline>
        </w:drawing>
      </w:r>
    </w:p>
    <w:p w:rsidR="00B85642" w:rsidRDefault="00B85642" w:rsidP="00AA4F69">
      <w:pPr>
        <w:spacing w:after="0" w:line="276" w:lineRule="auto"/>
        <w:jc w:val="both"/>
        <w:rPr>
          <w:b/>
        </w:rPr>
      </w:pPr>
      <w:r>
        <w:rPr>
          <w:noProof/>
        </w:rPr>
        <w:drawing>
          <wp:inline distT="0" distB="0" distL="0" distR="0" wp14:anchorId="2CEBB1A9" wp14:editId="431C2DBE">
            <wp:extent cx="5731510" cy="252920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29205"/>
                    </a:xfrm>
                    <a:prstGeom prst="rect">
                      <a:avLst/>
                    </a:prstGeom>
                  </pic:spPr>
                </pic:pic>
              </a:graphicData>
            </a:graphic>
          </wp:inline>
        </w:drawing>
      </w:r>
    </w:p>
    <w:p w:rsidR="00B85642" w:rsidRDefault="00AA4F69">
      <w:pPr>
        <w:rPr>
          <w:noProof/>
        </w:rPr>
      </w:pPr>
      <w:r>
        <w:rPr>
          <w:rFonts w:hint="eastAsia"/>
          <w:b/>
        </w:rPr>
        <w:t>R</w:t>
      </w:r>
      <w:r>
        <w:rPr>
          <w:b/>
        </w:rPr>
        <w:t>egression for Total return:</w:t>
      </w:r>
      <w:r w:rsidR="00B85642" w:rsidRPr="00B85642">
        <w:rPr>
          <w:noProof/>
        </w:rPr>
        <w:t xml:space="preserve"> </w:t>
      </w:r>
    </w:p>
    <w:p w:rsidR="00B85642" w:rsidRDefault="00B85642">
      <w:pPr>
        <w:rPr>
          <w:noProof/>
        </w:rPr>
      </w:pPr>
      <w:r>
        <w:rPr>
          <w:noProof/>
        </w:rPr>
        <w:drawing>
          <wp:inline distT="0" distB="0" distL="0" distR="0" wp14:anchorId="7ABC5E74" wp14:editId="347408EA">
            <wp:extent cx="5731510" cy="26530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53030"/>
                    </a:xfrm>
                    <a:prstGeom prst="rect">
                      <a:avLst/>
                    </a:prstGeom>
                  </pic:spPr>
                </pic:pic>
              </a:graphicData>
            </a:graphic>
          </wp:inline>
        </w:drawing>
      </w:r>
    </w:p>
    <w:p w:rsidR="00AA4F69" w:rsidRDefault="00B85642">
      <w:pPr>
        <w:rPr>
          <w:b/>
        </w:rPr>
      </w:pPr>
      <w:r>
        <w:rPr>
          <w:noProof/>
        </w:rPr>
        <w:lastRenderedPageBreak/>
        <w:drawing>
          <wp:inline distT="0" distB="0" distL="0" distR="0" wp14:anchorId="4F259677" wp14:editId="224F1F76">
            <wp:extent cx="5731510" cy="255333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53335"/>
                    </a:xfrm>
                    <a:prstGeom prst="rect">
                      <a:avLst/>
                    </a:prstGeom>
                  </pic:spPr>
                </pic:pic>
              </a:graphicData>
            </a:graphic>
          </wp:inline>
        </w:drawing>
      </w:r>
      <w:r w:rsidR="00AA4F69">
        <w:rPr>
          <w:b/>
        </w:rPr>
        <w:br w:type="page"/>
      </w:r>
    </w:p>
    <w:p w:rsidR="00B24836" w:rsidRPr="007B63A7" w:rsidRDefault="00AA4F69">
      <w:pPr>
        <w:rPr>
          <w:b/>
          <w:lang w:val="en-US"/>
        </w:rPr>
      </w:pPr>
      <w:r>
        <w:rPr>
          <w:b/>
        </w:rPr>
        <w:lastRenderedPageBreak/>
        <w:t>Next, we run the DW test for the regression residuals:</w:t>
      </w:r>
      <w:r w:rsidR="00B24836">
        <w:rPr>
          <w:b/>
        </w:rPr>
        <w:t xml:space="preserve"> </w:t>
      </w:r>
    </w:p>
    <w:p w:rsidR="007B63A7" w:rsidRPr="0087673B" w:rsidRDefault="007B63A7" w:rsidP="007B63A7">
      <w:pPr>
        <w:spacing w:line="240" w:lineRule="auto"/>
      </w:pPr>
      <w:r w:rsidRPr="0087673B">
        <w:t>The Durbin-Watson test statistic tests the null hypothesis that the residuals from an</w:t>
      </w:r>
      <w:r w:rsidRPr="0087673B">
        <w:rPr>
          <w:rFonts w:hint="eastAsia"/>
        </w:rPr>
        <w:t xml:space="preserve"> </w:t>
      </w:r>
      <w:r w:rsidRPr="0087673B">
        <w:t>ordinary least-squares regression are not autocorrelated against the alternative that the</w:t>
      </w:r>
      <w:r w:rsidRPr="0087673B">
        <w:rPr>
          <w:rFonts w:hint="eastAsia"/>
        </w:rPr>
        <w:t xml:space="preserve"> </w:t>
      </w:r>
      <w:r w:rsidRPr="0087673B">
        <w:t xml:space="preserve">residuals follow an </w:t>
      </w:r>
      <w:proofErr w:type="gramStart"/>
      <w:r w:rsidRPr="0087673B">
        <w:t>AR</w:t>
      </w:r>
      <w:r w:rsidR="000C7DD8" w:rsidRPr="0087673B">
        <w:t>(</w:t>
      </w:r>
      <w:proofErr w:type="gramEnd"/>
      <w:r w:rsidR="000C7DD8" w:rsidRPr="0087673B">
        <w:t>1)</w:t>
      </w:r>
      <w:r w:rsidRPr="0087673B">
        <w:t xml:space="preserve"> process. The Durbin-Watson statistic ranges in value from 0</w:t>
      </w:r>
      <w:r w:rsidRPr="0087673B">
        <w:rPr>
          <w:rFonts w:hint="eastAsia"/>
        </w:rPr>
        <w:t xml:space="preserve"> </w:t>
      </w:r>
      <w:r w:rsidRPr="0087673B">
        <w:t>to 4. A value near 2 indicates non-autocorrelation; a value toward 0 indicates positive</w:t>
      </w:r>
      <w:r w:rsidR="000C7DD8" w:rsidRPr="0087673B">
        <w:t xml:space="preserve"> </w:t>
      </w:r>
      <w:r w:rsidRPr="0087673B">
        <w:t xml:space="preserve">autocorrelation; a value toward 4 indicates negative autocorrelation. </w:t>
      </w:r>
      <w:proofErr w:type="gramStart"/>
      <w:r w:rsidRPr="0087673B">
        <w:rPr>
          <w:rFonts w:hint="eastAsia"/>
        </w:rPr>
        <w:t>So</w:t>
      </w:r>
      <w:proofErr w:type="gramEnd"/>
      <w:r w:rsidRPr="0087673B">
        <w:t xml:space="preserve"> </w:t>
      </w:r>
      <w:r w:rsidRPr="0087673B">
        <w:rPr>
          <w:rFonts w:hint="eastAsia"/>
        </w:rPr>
        <w:t>the</w:t>
      </w:r>
      <w:r w:rsidRPr="0087673B">
        <w:t xml:space="preserve"> DW test results for Price Return vs Fundamental factors and Total Return vs Fundamental factors are listed below.  The green cells represent for positive autocorrelation and red for negative autocorrelation.</w:t>
      </w:r>
    </w:p>
    <w:p w:rsidR="00B24836" w:rsidRDefault="00EC7784" w:rsidP="00B24836">
      <w:pPr>
        <w:spacing w:after="0" w:line="276" w:lineRule="auto"/>
        <w:jc w:val="center"/>
        <w:rPr>
          <w:b/>
        </w:rPr>
      </w:pPr>
      <w:r>
        <w:rPr>
          <w:noProof/>
        </w:rPr>
        <w:t xml:space="preserve"> </w:t>
      </w:r>
      <w:r w:rsidR="00B24836">
        <w:rPr>
          <w:noProof/>
        </w:rPr>
        <w:drawing>
          <wp:inline distT="0" distB="0" distL="0" distR="0" wp14:anchorId="547517EA" wp14:editId="2B233D9C">
            <wp:extent cx="5731510" cy="28949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94965"/>
                    </a:xfrm>
                    <a:prstGeom prst="rect">
                      <a:avLst/>
                    </a:prstGeom>
                  </pic:spPr>
                </pic:pic>
              </a:graphicData>
            </a:graphic>
          </wp:inline>
        </w:drawing>
      </w:r>
    </w:p>
    <w:p w:rsidR="00B24836" w:rsidRDefault="00B24836" w:rsidP="00B24836">
      <w:pPr>
        <w:spacing w:after="0" w:line="276" w:lineRule="auto"/>
        <w:jc w:val="center"/>
        <w:rPr>
          <w:b/>
          <w:lang w:val="en-US"/>
        </w:rPr>
      </w:pPr>
      <w:r>
        <w:rPr>
          <w:rFonts w:hint="eastAsia"/>
          <w:b/>
        </w:rPr>
        <w:t>P</w:t>
      </w:r>
      <w:r>
        <w:rPr>
          <w:b/>
        </w:rPr>
        <w:t>rice Return DW test</w:t>
      </w:r>
    </w:p>
    <w:p w:rsidR="00B24836" w:rsidRDefault="00B24836" w:rsidP="00B24836">
      <w:pPr>
        <w:spacing w:after="0" w:line="276" w:lineRule="auto"/>
        <w:jc w:val="center"/>
        <w:rPr>
          <w:b/>
          <w:lang w:val="en-US"/>
        </w:rPr>
      </w:pPr>
      <w:r>
        <w:rPr>
          <w:noProof/>
        </w:rPr>
        <w:drawing>
          <wp:inline distT="0" distB="0" distL="0" distR="0" wp14:anchorId="01FF4CBD" wp14:editId="3A2F9194">
            <wp:extent cx="5731510" cy="26917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91765"/>
                    </a:xfrm>
                    <a:prstGeom prst="rect">
                      <a:avLst/>
                    </a:prstGeom>
                  </pic:spPr>
                </pic:pic>
              </a:graphicData>
            </a:graphic>
          </wp:inline>
        </w:drawing>
      </w:r>
    </w:p>
    <w:p w:rsidR="00B24836" w:rsidRPr="001773D3" w:rsidRDefault="00B24836" w:rsidP="00B24836">
      <w:pPr>
        <w:spacing w:after="0" w:line="276" w:lineRule="auto"/>
        <w:jc w:val="center"/>
        <w:rPr>
          <w:b/>
          <w:lang w:val="en-US"/>
        </w:rPr>
      </w:pPr>
      <w:r>
        <w:rPr>
          <w:rFonts w:hint="eastAsia"/>
          <w:b/>
          <w:lang w:val="en-US"/>
        </w:rPr>
        <w:t>T</w:t>
      </w:r>
      <w:r>
        <w:rPr>
          <w:b/>
          <w:lang w:val="en-US"/>
        </w:rPr>
        <w:t>otal Return DW test</w:t>
      </w:r>
    </w:p>
    <w:p w:rsidR="00AA4F69" w:rsidRPr="00D061F3" w:rsidRDefault="007B63A7">
      <w:pPr>
        <w:rPr>
          <w:rFonts w:eastAsia="맑은 고딕"/>
          <w:lang w:eastAsia="ko-KR"/>
        </w:rPr>
      </w:pPr>
      <w:r w:rsidRPr="00261461">
        <w:t xml:space="preserve">Based on the comparison of DW statistics vs </w:t>
      </w:r>
      <w:r w:rsidR="00DF77BA" w:rsidRPr="00261461">
        <w:t>Critical value, we can see</w:t>
      </w:r>
      <w:r w:rsidR="000C7DD8" w:rsidRPr="00261461">
        <w:t xml:space="preserve"> that</w:t>
      </w:r>
      <w:r w:rsidR="00DF77BA" w:rsidRPr="00261461">
        <w:t xml:space="preserve"> most of the regression residuals don’t have positive or positive autocorrelation property. </w:t>
      </w:r>
      <w:r w:rsidR="000C7DD8" w:rsidRPr="00261461">
        <w:t xml:space="preserve"> </w:t>
      </w:r>
      <w:proofErr w:type="gramStart"/>
      <w:r w:rsidR="000C7DD8" w:rsidRPr="00261461">
        <w:t>So</w:t>
      </w:r>
      <w:proofErr w:type="gramEnd"/>
      <w:r w:rsidR="000C7DD8" w:rsidRPr="00261461">
        <w:t xml:space="preserve"> the fundamental factors should have a relatively good proportionally explain effect for the total return or price return.</w:t>
      </w:r>
    </w:p>
    <w:p w:rsidR="008B3AE9" w:rsidRPr="0091639B" w:rsidRDefault="008B3AE9" w:rsidP="00AA4F69">
      <w:pPr>
        <w:spacing w:after="0" w:line="276" w:lineRule="auto"/>
        <w:jc w:val="both"/>
        <w:rPr>
          <w:b/>
        </w:rPr>
      </w:pPr>
    </w:p>
    <w:sectPr w:rsidR="008B3AE9" w:rsidRPr="00916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6406" w:rsidRDefault="00F96406" w:rsidP="00AA4F69">
      <w:pPr>
        <w:spacing w:after="0" w:line="240" w:lineRule="auto"/>
      </w:pPr>
      <w:r>
        <w:separator/>
      </w:r>
    </w:p>
  </w:endnote>
  <w:endnote w:type="continuationSeparator" w:id="0">
    <w:p w:rsidR="00F96406" w:rsidRDefault="00F96406" w:rsidP="00AA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6406" w:rsidRDefault="00F96406" w:rsidP="00AA4F69">
      <w:pPr>
        <w:spacing w:after="0" w:line="240" w:lineRule="auto"/>
      </w:pPr>
      <w:r>
        <w:separator/>
      </w:r>
    </w:p>
  </w:footnote>
  <w:footnote w:type="continuationSeparator" w:id="0">
    <w:p w:rsidR="00F96406" w:rsidRDefault="00F96406" w:rsidP="00AA4F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87937"/>
    <w:rsid w:val="000C7DD8"/>
    <w:rsid w:val="000E3821"/>
    <w:rsid w:val="001447F2"/>
    <w:rsid w:val="00171A54"/>
    <w:rsid w:val="001763E5"/>
    <w:rsid w:val="001A3677"/>
    <w:rsid w:val="001B23BF"/>
    <w:rsid w:val="00202F25"/>
    <w:rsid w:val="00261461"/>
    <w:rsid w:val="002646C9"/>
    <w:rsid w:val="00372A2A"/>
    <w:rsid w:val="003C5BB2"/>
    <w:rsid w:val="004134BA"/>
    <w:rsid w:val="00425F23"/>
    <w:rsid w:val="00463061"/>
    <w:rsid w:val="004B21D4"/>
    <w:rsid w:val="00500A17"/>
    <w:rsid w:val="005643A8"/>
    <w:rsid w:val="005925DE"/>
    <w:rsid w:val="00594555"/>
    <w:rsid w:val="005A7547"/>
    <w:rsid w:val="005E63AA"/>
    <w:rsid w:val="00602624"/>
    <w:rsid w:val="006630D9"/>
    <w:rsid w:val="00681D63"/>
    <w:rsid w:val="006A2DFF"/>
    <w:rsid w:val="006A7FE1"/>
    <w:rsid w:val="006C4A7E"/>
    <w:rsid w:val="006D4738"/>
    <w:rsid w:val="0071111D"/>
    <w:rsid w:val="007320CC"/>
    <w:rsid w:val="0076354C"/>
    <w:rsid w:val="007731E0"/>
    <w:rsid w:val="00792897"/>
    <w:rsid w:val="007B63A7"/>
    <w:rsid w:val="0087673B"/>
    <w:rsid w:val="00880DBD"/>
    <w:rsid w:val="0089389E"/>
    <w:rsid w:val="008B3AE9"/>
    <w:rsid w:val="0091639B"/>
    <w:rsid w:val="00937F9D"/>
    <w:rsid w:val="009540E4"/>
    <w:rsid w:val="009C4857"/>
    <w:rsid w:val="009D4652"/>
    <w:rsid w:val="00A403AC"/>
    <w:rsid w:val="00A62C89"/>
    <w:rsid w:val="00AA4F69"/>
    <w:rsid w:val="00B24836"/>
    <w:rsid w:val="00B46903"/>
    <w:rsid w:val="00B54E2C"/>
    <w:rsid w:val="00B74845"/>
    <w:rsid w:val="00B85642"/>
    <w:rsid w:val="00BC058E"/>
    <w:rsid w:val="00BC7107"/>
    <w:rsid w:val="00C82D10"/>
    <w:rsid w:val="00D061F3"/>
    <w:rsid w:val="00D11A5B"/>
    <w:rsid w:val="00D27F18"/>
    <w:rsid w:val="00D46AE8"/>
    <w:rsid w:val="00DF77BA"/>
    <w:rsid w:val="00E02CC7"/>
    <w:rsid w:val="00E5506A"/>
    <w:rsid w:val="00E6267C"/>
    <w:rsid w:val="00E827D0"/>
    <w:rsid w:val="00EB6FD7"/>
    <w:rsid w:val="00EC7784"/>
    <w:rsid w:val="00F11C8B"/>
    <w:rsid w:val="00F96406"/>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04B19"/>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 w:type="paragraph" w:styleId="Caption">
    <w:name w:val="caption"/>
    <w:basedOn w:val="Normal"/>
    <w:next w:val="Normal"/>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PlainTable2">
    <w:name w:val="Plain Table 2"/>
    <w:basedOn w:val="TableNormal"/>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A4F6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A4F69"/>
    <w:rPr>
      <w:sz w:val="18"/>
      <w:szCs w:val="18"/>
    </w:rPr>
  </w:style>
  <w:style w:type="paragraph" w:styleId="Footer">
    <w:name w:val="footer"/>
    <w:basedOn w:val="Normal"/>
    <w:link w:val="FooterChar"/>
    <w:uiPriority w:val="99"/>
    <w:unhideWhenUsed/>
    <w:rsid w:val="00AA4F6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4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93347">
      <w:bodyDiv w:val="1"/>
      <w:marLeft w:val="0"/>
      <w:marRight w:val="0"/>
      <w:marTop w:val="0"/>
      <w:marBottom w:val="0"/>
      <w:divBdr>
        <w:top w:val="none" w:sz="0" w:space="0" w:color="auto"/>
        <w:left w:val="none" w:sz="0" w:space="0" w:color="auto"/>
        <w:bottom w:val="none" w:sz="0" w:space="0" w:color="auto"/>
        <w:right w:val="none" w:sz="0" w:space="0" w:color="auto"/>
      </w:divBdr>
    </w:div>
    <w:div w:id="877932630">
      <w:bodyDiv w:val="1"/>
      <w:marLeft w:val="0"/>
      <w:marRight w:val="0"/>
      <w:marTop w:val="0"/>
      <w:marBottom w:val="0"/>
      <w:divBdr>
        <w:top w:val="none" w:sz="0" w:space="0" w:color="auto"/>
        <w:left w:val="none" w:sz="0" w:space="0" w:color="auto"/>
        <w:bottom w:val="none" w:sz="0" w:space="0" w:color="auto"/>
        <w:right w:val="none" w:sz="0" w:space="0" w:color="auto"/>
      </w:divBdr>
    </w:div>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lobalfinancialdata.com/GFD/Article/a-brief-history-of-the-dow-jones-utility-averag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1CE83-5F60-42BE-A89E-4EAD85B1C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12</Pages>
  <Words>3857</Words>
  <Characters>21987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ykfriend741@naver.com</cp:lastModifiedBy>
  <cp:revision>14</cp:revision>
  <dcterms:created xsi:type="dcterms:W3CDTF">2019-04-29T08:44:00Z</dcterms:created>
  <dcterms:modified xsi:type="dcterms:W3CDTF">2019-04-30T03:43:00Z</dcterms:modified>
</cp:coreProperties>
</file>