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t>
      </w:r>
      <w:proofErr w:type="spellStart"/>
      <w:r w:rsidRPr="0091639B">
        <w:t>Weiguo</w:t>
      </w:r>
      <w:proofErr w:type="spellEnd"/>
      <w:r w:rsidRPr="0091639B">
        <w:t xml:space="preserve">, Kim Chan-Jung, Johnny Quek, Wang </w:t>
      </w:r>
      <w:proofErr w:type="spellStart"/>
      <w:r w:rsidRPr="0091639B">
        <w:t>Boyu</w:t>
      </w:r>
      <w:proofErr w:type="spellEnd"/>
      <w:r w:rsidRPr="0091639B">
        <w:t>,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83549A"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61758A">
        <w:rPr>
          <w:rFonts w:cstheme="minorHAnsi"/>
          <w:b/>
        </w:rPr>
        <w:t>an</w:t>
      </w:r>
      <w:r w:rsidRPr="00087937">
        <w:rPr>
          <w:rFonts w:cstheme="minorHAnsi"/>
          <w:b/>
        </w:rPr>
        <w:t xml:space="preserve"> 198</w:t>
      </w:r>
      <w:r w:rsidR="0061758A">
        <w:rPr>
          <w:rFonts w:cstheme="minorHAnsi"/>
          <w:b/>
        </w:rPr>
        <w:t>9</w:t>
      </w:r>
      <w:r w:rsidRPr="00087937">
        <w:rPr>
          <w:rFonts w:cstheme="minorHAnsi"/>
          <w:b/>
        </w:rPr>
        <w:t xml:space="preserve">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926FAA"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Pr>
                <w:rFonts w:cstheme="minorHAnsi"/>
                <w:color w:val="000000" w:themeColor="text1"/>
                <w:sz w:val="14"/>
                <w:szCs w:val="16"/>
              </w:rPr>
              <w:t>129.33%</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r w:rsidR="0061758A">
        <w:t>S</w:t>
      </w:r>
      <w:r>
        <w:t>harpe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632118" w:rsidRDefault="00D46AE8" w:rsidP="00D46AE8">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tcPr>
          <w:p w:rsidR="00632118" w:rsidRPr="00D46AE8" w:rsidRDefault="00632118" w:rsidP="00D46AE8">
            <w:pPr>
              <w:spacing w:after="0" w:line="240" w:lineRule="auto"/>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nil"/>
              <w:right w:val="single" w:sz="8" w:space="0" w:color="auto"/>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B07812">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EF309F" w:rsidP="00681D63">
            <w:pPr>
              <w:spacing w:after="0" w:line="240" w:lineRule="auto"/>
              <w:jc w:val="center"/>
              <w:rPr>
                <w:rFonts w:eastAsia="Times New Roman" w:cs="Times New Roman"/>
                <w:color w:val="000000"/>
                <w:sz w:val="14"/>
                <w:lang w:val="en-GB"/>
              </w:rPr>
            </w:pPr>
            <w:r>
              <w:rPr>
                <w:rFonts w:eastAsia="Times New Roman" w:cs="Times New Roman"/>
                <w:color w:val="000000"/>
                <w:sz w:val="14"/>
                <w:lang w:val="en-GB"/>
              </w:rPr>
              <w:t xml:space="preserve">Jan </w:t>
            </w:r>
            <w:r w:rsidR="00681D63" w:rsidRPr="00681D63">
              <w:rPr>
                <w:rFonts w:eastAsia="Times New Roman" w:cs="Times New Roman"/>
                <w:color w:val="000000"/>
                <w:sz w:val="14"/>
                <w:lang w:val="en-GB"/>
              </w:rPr>
              <w:t>1989-</w:t>
            </w:r>
            <w:r>
              <w:rPr>
                <w:rFonts w:eastAsia="Times New Roman" w:cs="Times New Roman"/>
                <w:color w:val="000000"/>
                <w:sz w:val="14"/>
                <w:lang w:val="en-GB"/>
              </w:rPr>
              <w:t xml:space="preserve">Dec </w:t>
            </w:r>
            <w:r w:rsidR="00681D63" w:rsidRPr="00681D63">
              <w:rPr>
                <w:rFonts w:eastAsia="Times New Roman" w:cs="Times New Roman"/>
                <w:color w:val="000000"/>
                <w:sz w:val="14"/>
                <w:lang w:val="en-GB"/>
              </w:rPr>
              <w:t>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B07812">
        <w:trPr>
          <w:trHeight w:val="253"/>
          <w:jc w:val="center"/>
        </w:trPr>
        <w:tc>
          <w:tcPr>
            <w:tcW w:w="3400"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color w:val="000000"/>
                <w:sz w:val="14"/>
                <w:lang w:val="en-GB"/>
              </w:rPr>
            </w:pPr>
            <w:r w:rsidRPr="00B07812">
              <w:rPr>
                <w:rFonts w:eastAsia="Times New Roman" w:cs="Times New Roman"/>
                <w:b/>
                <w:color w:val="000000"/>
                <w:sz w:val="14"/>
                <w:lang w:val="en-GB"/>
              </w:rPr>
              <w:t>181.77</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8" w:space="0" w:color="auto"/>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lastRenderedPageBreak/>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B07812">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8B3AE9" w:rsidRDefault="00E5506A" w:rsidP="00F112DD">
      <w:pPr>
        <w:spacing w:after="0" w:line="276" w:lineRule="auto"/>
        <w:jc w:val="both"/>
        <w:rPr>
          <w:b/>
        </w:rPr>
      </w:pPr>
      <w:r>
        <w:rPr>
          <w:b/>
        </w:rPr>
        <w:t xml:space="preserve">Section </w:t>
      </w:r>
      <w:r w:rsidR="00B749FE">
        <w:rPr>
          <w:b/>
        </w:rPr>
        <w:t>5</w:t>
      </w:r>
      <w:r>
        <w:rPr>
          <w:b/>
        </w:rPr>
        <w:t xml:space="preserve">: </w:t>
      </w:r>
      <w:r w:rsidR="00F112DD">
        <w:rPr>
          <w:b/>
        </w:rPr>
        <w:t>Conclusion</w:t>
      </w:r>
    </w:p>
    <w:p w:rsidR="0072220E" w:rsidRDefault="00AA514A" w:rsidP="00AA514A">
      <w:pPr>
        <w:jc w:val="both"/>
      </w:pPr>
      <w:r>
        <w:t>In essence</w:t>
      </w:r>
      <w:r w:rsidR="00F112DD" w:rsidRPr="00F112DD">
        <w:t>, we have successfully prove</w:t>
      </w:r>
      <w:r>
        <w:t>n</w:t>
      </w:r>
      <w:r w:rsidR="00F112DD" w:rsidRPr="00F112DD">
        <w:t xml:space="preserve"> that </w:t>
      </w:r>
      <w:r>
        <w:t xml:space="preserve">the </w:t>
      </w:r>
      <w:r w:rsidR="00F112DD" w:rsidRPr="00F112DD">
        <w:t>ROIC</w:t>
      </w:r>
      <w:r>
        <w:t>-based</w:t>
      </w:r>
      <w:r w:rsidR="00F112DD" w:rsidRPr="00F112DD">
        <w:t xml:space="preserve"> smart beta index </w:t>
      </w:r>
      <w:r>
        <w:t>has, within our chosen basket of fundamental-based indices, displayed</w:t>
      </w:r>
      <w:r w:rsidR="00F112DD" w:rsidRPr="00F112DD">
        <w:t xml:space="preserve"> superior returns and performance </w:t>
      </w:r>
      <w:r>
        <w:t xml:space="preserve">(for </w:t>
      </w:r>
      <w:r w:rsidR="00F112DD" w:rsidRPr="00F112DD">
        <w:t>both price and total return</w:t>
      </w:r>
      <w:r>
        <w:t>-based measures) over our sample periods</w:t>
      </w:r>
      <w:r w:rsidR="00F112DD" w:rsidRPr="00F112DD">
        <w:t xml:space="preserve">. </w:t>
      </w:r>
      <w:r>
        <w:t>However</w:t>
      </w:r>
      <w:r w:rsidR="00F112DD" w:rsidRPr="00F112DD">
        <w:t xml:space="preserve">, there still exists a noteworthy </w:t>
      </w:r>
      <w:r w:rsidR="0072220E">
        <w:t>caveat of</w:t>
      </w:r>
      <w:r w:rsidR="00F112DD" w:rsidRPr="00F112DD">
        <w:t xml:space="preserve"> the </w:t>
      </w:r>
      <w:r w:rsidR="0072220E">
        <w:t xml:space="preserve">ROIC-based index’s relatively worse-off standing in terms of </w:t>
      </w:r>
      <w:r w:rsidR="00F112DD" w:rsidRPr="00F112DD">
        <w:t>downside volatility and worst monthly return.</w:t>
      </w:r>
      <w:r w:rsidR="0072220E">
        <w:t xml:space="preserve"> Regardless</w:t>
      </w:r>
      <w:r w:rsidR="00F112DD" w:rsidRPr="00F112DD">
        <w:t xml:space="preserve">, given the </w:t>
      </w:r>
      <w:r w:rsidR="0072220E">
        <w:t xml:space="preserve">ROIC-based index’s immense </w:t>
      </w:r>
      <w:r w:rsidR="00F112DD" w:rsidRPr="00F112DD">
        <w:t xml:space="preserve">upside in </w:t>
      </w:r>
      <w:r w:rsidR="0072220E">
        <w:t xml:space="preserve">terms of </w:t>
      </w:r>
      <w:r w:rsidR="00F112DD" w:rsidRPr="00F112DD">
        <w:t xml:space="preserve">best monthly return and </w:t>
      </w:r>
      <w:r w:rsidR="0072220E">
        <w:t xml:space="preserve">superior observed </w:t>
      </w:r>
      <w:proofErr w:type="spellStart"/>
      <w:r w:rsidR="00F112DD" w:rsidRPr="00F112DD">
        <w:t>Sortino</w:t>
      </w:r>
      <w:proofErr w:type="spellEnd"/>
      <w:r w:rsidR="00F112DD" w:rsidRPr="00F112DD">
        <w:t xml:space="preserve"> ratio, </w:t>
      </w:r>
      <w:r w:rsidR="0072220E">
        <w:t xml:space="preserve">we are still enticed and are more inclined to stick to the ROIC-based index as our favourite one among the lot. </w:t>
      </w:r>
    </w:p>
    <w:p w:rsidR="00F112DD" w:rsidRPr="00F112DD" w:rsidRDefault="0072220E" w:rsidP="00AA514A">
      <w:pPr>
        <w:jc w:val="both"/>
      </w:pPr>
      <w:r>
        <w:t xml:space="preserve">The </w:t>
      </w:r>
      <w:r w:rsidRPr="0072220E">
        <w:t xml:space="preserve">Op CF Margin-based smart beta index </w:t>
      </w:r>
      <w:r>
        <w:t xml:space="preserve">is </w:t>
      </w:r>
      <w:r w:rsidRPr="0072220E">
        <w:t xml:space="preserve">also worth an honourable mention due to its superior risk-adjusted return in terms of Sharpe ratio, </w:t>
      </w:r>
      <w:r>
        <w:t xml:space="preserve">though said index </w:t>
      </w:r>
      <w:r w:rsidRPr="0072220E">
        <w:t>may be better suited for lower-volatility play.</w:t>
      </w:r>
      <w:r w:rsidR="00F112DD" w:rsidRPr="00F112DD">
        <w:t xml:space="preserve"> </w:t>
      </w:r>
    </w:p>
    <w:p w:rsidR="00F112DD" w:rsidRPr="00F112DD" w:rsidRDefault="0072220E" w:rsidP="00AA514A">
      <w:pPr>
        <w:jc w:val="both"/>
      </w:pPr>
      <w:r>
        <w:t>Admittedly</w:t>
      </w:r>
      <w:r w:rsidR="00F112DD" w:rsidRPr="00F112DD">
        <w:t xml:space="preserve">, </w:t>
      </w:r>
      <w:r>
        <w:t xml:space="preserve">our chosen (and cherry-picked) </w:t>
      </w:r>
      <w:r w:rsidR="00F112DD" w:rsidRPr="00F112DD">
        <w:t xml:space="preserve">list of fundamental factors </w:t>
      </w:r>
      <w:r>
        <w:t xml:space="preserve">for the construction of smart beta indices is barely an </w:t>
      </w:r>
      <w:r w:rsidR="00F112DD" w:rsidRPr="00F112DD">
        <w:t xml:space="preserve">exhaustive </w:t>
      </w:r>
      <w:r>
        <w:t xml:space="preserve">one </w:t>
      </w:r>
      <w:r w:rsidR="00F112DD" w:rsidRPr="00F112DD">
        <w:t xml:space="preserve">as </w:t>
      </w:r>
      <w:r>
        <w:t xml:space="preserve">due </w:t>
      </w:r>
      <w:r w:rsidR="00F112DD" w:rsidRPr="00F112DD">
        <w:t xml:space="preserve">to </w:t>
      </w:r>
      <w:r>
        <w:t xml:space="preserve">our </w:t>
      </w:r>
      <w:r w:rsidR="00F112DD" w:rsidRPr="00F112DD">
        <w:t>timeframe and resource</w:t>
      </w:r>
      <w:r>
        <w:t xml:space="preserve"> constraints</w:t>
      </w:r>
      <w:r w:rsidR="00F112DD" w:rsidRPr="00F112DD">
        <w:t>.</w:t>
      </w:r>
      <w:r>
        <w:t xml:space="preserve"> Ahead</w:t>
      </w:r>
      <w:r w:rsidR="00F112DD" w:rsidRPr="00F112DD">
        <w:t xml:space="preserve">, </w:t>
      </w:r>
      <w:r>
        <w:t xml:space="preserve">and should we have the luxury in the future, we hope to adopt a </w:t>
      </w:r>
      <w:r w:rsidR="00F112DD" w:rsidRPr="00F112DD">
        <w:t xml:space="preserve">more systematic way </w:t>
      </w:r>
      <w:r>
        <w:t xml:space="preserve">of sieving for alpha-generating </w:t>
      </w:r>
      <w:r w:rsidR="00F112DD" w:rsidRPr="00F112DD">
        <w:t>fundamental</w:t>
      </w:r>
      <w:r>
        <w:t>-based weighting methods</w:t>
      </w:r>
      <w:r w:rsidR="00F112DD" w:rsidRPr="00F112DD">
        <w:t xml:space="preserve">, </w:t>
      </w:r>
      <w:r>
        <w:t xml:space="preserve">for which more advanced techniques such as </w:t>
      </w:r>
      <w:r w:rsidR="00F112DD" w:rsidRPr="00F112DD">
        <w:t xml:space="preserve">on machine learning </w:t>
      </w:r>
      <w:r>
        <w:t>can be tapped upon. Also, we would like to delve deeper into the root drivers of the relative outperformance of some smart-beta indices over others.</w:t>
      </w:r>
      <w:r w:rsidR="008C4862">
        <w:t xml:space="preserve"> Overall, it has been an extremely interesting journey, but this little study is </w:t>
      </w:r>
      <w:r w:rsidR="004D187C">
        <w:t>all but the end.</w:t>
      </w:r>
      <w:bookmarkStart w:id="0" w:name="_GoBack"/>
      <w:bookmarkEnd w:id="0"/>
    </w:p>
    <w:sectPr w:rsidR="00F112DD" w:rsidRPr="00F112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49A" w:rsidRDefault="0083549A" w:rsidP="00AA4F69">
      <w:pPr>
        <w:spacing w:after="0" w:line="240" w:lineRule="auto"/>
      </w:pPr>
      <w:r>
        <w:separator/>
      </w:r>
    </w:p>
  </w:endnote>
  <w:endnote w:type="continuationSeparator" w:id="0">
    <w:p w:rsidR="0083549A" w:rsidRDefault="0083549A"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49A" w:rsidRDefault="0083549A" w:rsidP="00AA4F69">
      <w:pPr>
        <w:spacing w:after="0" w:line="240" w:lineRule="auto"/>
      </w:pPr>
      <w:r>
        <w:separator/>
      </w:r>
    </w:p>
  </w:footnote>
  <w:footnote w:type="continuationSeparator" w:id="0">
    <w:p w:rsidR="0083549A" w:rsidRDefault="0083549A"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E27E2C"/>
    <w:multiLevelType w:val="hybridMultilevel"/>
    <w:tmpl w:val="4196A360"/>
    <w:lvl w:ilvl="0" w:tplc="4348AAE8">
      <w:start w:val="1"/>
      <w:numFmt w:val="bullet"/>
      <w:lvlText w:val="•"/>
      <w:lvlJc w:val="left"/>
      <w:pPr>
        <w:tabs>
          <w:tab w:val="num" w:pos="720"/>
        </w:tabs>
        <w:ind w:left="720" w:hanging="360"/>
      </w:pPr>
      <w:rPr>
        <w:rFonts w:ascii="Arial" w:hAnsi="Arial" w:hint="default"/>
      </w:rPr>
    </w:lvl>
    <w:lvl w:ilvl="1" w:tplc="00C24FB4" w:tentative="1">
      <w:start w:val="1"/>
      <w:numFmt w:val="bullet"/>
      <w:lvlText w:val="•"/>
      <w:lvlJc w:val="left"/>
      <w:pPr>
        <w:tabs>
          <w:tab w:val="num" w:pos="1440"/>
        </w:tabs>
        <w:ind w:left="1440" w:hanging="360"/>
      </w:pPr>
      <w:rPr>
        <w:rFonts w:ascii="Arial" w:hAnsi="Arial" w:hint="default"/>
      </w:rPr>
    </w:lvl>
    <w:lvl w:ilvl="2" w:tplc="027241D6" w:tentative="1">
      <w:start w:val="1"/>
      <w:numFmt w:val="bullet"/>
      <w:lvlText w:val="•"/>
      <w:lvlJc w:val="left"/>
      <w:pPr>
        <w:tabs>
          <w:tab w:val="num" w:pos="2160"/>
        </w:tabs>
        <w:ind w:left="2160" w:hanging="360"/>
      </w:pPr>
      <w:rPr>
        <w:rFonts w:ascii="Arial" w:hAnsi="Arial" w:hint="default"/>
      </w:rPr>
    </w:lvl>
    <w:lvl w:ilvl="3" w:tplc="141E3D3E" w:tentative="1">
      <w:start w:val="1"/>
      <w:numFmt w:val="bullet"/>
      <w:lvlText w:val="•"/>
      <w:lvlJc w:val="left"/>
      <w:pPr>
        <w:tabs>
          <w:tab w:val="num" w:pos="2880"/>
        </w:tabs>
        <w:ind w:left="2880" w:hanging="360"/>
      </w:pPr>
      <w:rPr>
        <w:rFonts w:ascii="Arial" w:hAnsi="Arial" w:hint="default"/>
      </w:rPr>
    </w:lvl>
    <w:lvl w:ilvl="4" w:tplc="CFFA2C24" w:tentative="1">
      <w:start w:val="1"/>
      <w:numFmt w:val="bullet"/>
      <w:lvlText w:val="•"/>
      <w:lvlJc w:val="left"/>
      <w:pPr>
        <w:tabs>
          <w:tab w:val="num" w:pos="3600"/>
        </w:tabs>
        <w:ind w:left="3600" w:hanging="360"/>
      </w:pPr>
      <w:rPr>
        <w:rFonts w:ascii="Arial" w:hAnsi="Arial" w:hint="default"/>
      </w:rPr>
    </w:lvl>
    <w:lvl w:ilvl="5" w:tplc="A4946FD4" w:tentative="1">
      <w:start w:val="1"/>
      <w:numFmt w:val="bullet"/>
      <w:lvlText w:val="•"/>
      <w:lvlJc w:val="left"/>
      <w:pPr>
        <w:tabs>
          <w:tab w:val="num" w:pos="4320"/>
        </w:tabs>
        <w:ind w:left="4320" w:hanging="360"/>
      </w:pPr>
      <w:rPr>
        <w:rFonts w:ascii="Arial" w:hAnsi="Arial" w:hint="default"/>
      </w:rPr>
    </w:lvl>
    <w:lvl w:ilvl="6" w:tplc="8460C54C" w:tentative="1">
      <w:start w:val="1"/>
      <w:numFmt w:val="bullet"/>
      <w:lvlText w:val="•"/>
      <w:lvlJc w:val="left"/>
      <w:pPr>
        <w:tabs>
          <w:tab w:val="num" w:pos="5040"/>
        </w:tabs>
        <w:ind w:left="5040" w:hanging="360"/>
      </w:pPr>
      <w:rPr>
        <w:rFonts w:ascii="Arial" w:hAnsi="Arial" w:hint="default"/>
      </w:rPr>
    </w:lvl>
    <w:lvl w:ilvl="7" w:tplc="7250EDDA" w:tentative="1">
      <w:start w:val="1"/>
      <w:numFmt w:val="bullet"/>
      <w:lvlText w:val="•"/>
      <w:lvlJc w:val="left"/>
      <w:pPr>
        <w:tabs>
          <w:tab w:val="num" w:pos="5760"/>
        </w:tabs>
        <w:ind w:left="5760" w:hanging="360"/>
      </w:pPr>
      <w:rPr>
        <w:rFonts w:ascii="Arial" w:hAnsi="Arial" w:hint="default"/>
      </w:rPr>
    </w:lvl>
    <w:lvl w:ilvl="8" w:tplc="67AA46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12C0C"/>
    <w:rsid w:val="000520BB"/>
    <w:rsid w:val="00087937"/>
    <w:rsid w:val="000C7DD8"/>
    <w:rsid w:val="000E3821"/>
    <w:rsid w:val="001447F2"/>
    <w:rsid w:val="00171A54"/>
    <w:rsid w:val="001A3677"/>
    <w:rsid w:val="001B23BF"/>
    <w:rsid w:val="00202F25"/>
    <w:rsid w:val="002646C9"/>
    <w:rsid w:val="002B4F6C"/>
    <w:rsid w:val="00372A2A"/>
    <w:rsid w:val="0039570C"/>
    <w:rsid w:val="003C5BB2"/>
    <w:rsid w:val="004134BA"/>
    <w:rsid w:val="00425F23"/>
    <w:rsid w:val="004406B1"/>
    <w:rsid w:val="00463061"/>
    <w:rsid w:val="004B21D4"/>
    <w:rsid w:val="004C47E6"/>
    <w:rsid w:val="004D187C"/>
    <w:rsid w:val="00500A17"/>
    <w:rsid w:val="005340D6"/>
    <w:rsid w:val="00550DFC"/>
    <w:rsid w:val="005643A8"/>
    <w:rsid w:val="005925DE"/>
    <w:rsid w:val="005A7547"/>
    <w:rsid w:val="005E63AA"/>
    <w:rsid w:val="0061758A"/>
    <w:rsid w:val="00632118"/>
    <w:rsid w:val="006630D9"/>
    <w:rsid w:val="00681D63"/>
    <w:rsid w:val="00695997"/>
    <w:rsid w:val="006A2DFF"/>
    <w:rsid w:val="006A7FE1"/>
    <w:rsid w:val="006C4A7E"/>
    <w:rsid w:val="006D0C26"/>
    <w:rsid w:val="006D4738"/>
    <w:rsid w:val="0071111D"/>
    <w:rsid w:val="0072220E"/>
    <w:rsid w:val="007320CC"/>
    <w:rsid w:val="0073611C"/>
    <w:rsid w:val="0076354C"/>
    <w:rsid w:val="007731E0"/>
    <w:rsid w:val="00792897"/>
    <w:rsid w:val="007B63A7"/>
    <w:rsid w:val="007D5642"/>
    <w:rsid w:val="00811FE0"/>
    <w:rsid w:val="0083549A"/>
    <w:rsid w:val="00844DC7"/>
    <w:rsid w:val="00880DBD"/>
    <w:rsid w:val="0089389E"/>
    <w:rsid w:val="00893EB0"/>
    <w:rsid w:val="008B3AE9"/>
    <w:rsid w:val="008C4862"/>
    <w:rsid w:val="0091639B"/>
    <w:rsid w:val="00926FAA"/>
    <w:rsid w:val="00937F9D"/>
    <w:rsid w:val="0098039D"/>
    <w:rsid w:val="009C4857"/>
    <w:rsid w:val="009D4652"/>
    <w:rsid w:val="00A050B5"/>
    <w:rsid w:val="00A403AC"/>
    <w:rsid w:val="00A62C89"/>
    <w:rsid w:val="00AA4F69"/>
    <w:rsid w:val="00AA514A"/>
    <w:rsid w:val="00B07812"/>
    <w:rsid w:val="00B24836"/>
    <w:rsid w:val="00B46903"/>
    <w:rsid w:val="00B74845"/>
    <w:rsid w:val="00B749FE"/>
    <w:rsid w:val="00B85642"/>
    <w:rsid w:val="00C82D10"/>
    <w:rsid w:val="00CA324C"/>
    <w:rsid w:val="00D11A5B"/>
    <w:rsid w:val="00D27F18"/>
    <w:rsid w:val="00D46AE8"/>
    <w:rsid w:val="00D53514"/>
    <w:rsid w:val="00DC3491"/>
    <w:rsid w:val="00DE6872"/>
    <w:rsid w:val="00DF77BA"/>
    <w:rsid w:val="00E448ED"/>
    <w:rsid w:val="00E5506A"/>
    <w:rsid w:val="00E6267C"/>
    <w:rsid w:val="00E827D0"/>
    <w:rsid w:val="00EB6FD7"/>
    <w:rsid w:val="00EF309F"/>
    <w:rsid w:val="00F112DD"/>
    <w:rsid w:val="00F11C8B"/>
    <w:rsid w:val="00F72EA6"/>
    <w:rsid w:val="00FC19F1"/>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058F"/>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 w:type="paragraph" w:styleId="ListParagraph">
    <w:name w:val="List Paragraph"/>
    <w:basedOn w:val="Normal"/>
    <w:uiPriority w:val="34"/>
    <w:qFormat/>
    <w:rsid w:val="0072220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363553850">
      <w:bodyDiv w:val="1"/>
      <w:marLeft w:val="0"/>
      <w:marRight w:val="0"/>
      <w:marTop w:val="0"/>
      <w:marBottom w:val="0"/>
      <w:divBdr>
        <w:top w:val="none" w:sz="0" w:space="0" w:color="auto"/>
        <w:left w:val="none" w:sz="0" w:space="0" w:color="auto"/>
        <w:bottom w:val="none" w:sz="0" w:space="0" w:color="auto"/>
        <w:right w:val="none" w:sz="0" w:space="0" w:color="auto"/>
      </w:divBdr>
      <w:divsChild>
        <w:div w:id="2126926365">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sChild>
        <w:div w:id="1724669611">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B143A-2358-4DA0-AAE7-249BF1F4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Tian Yong Woon</cp:lastModifiedBy>
  <cp:revision>4</cp:revision>
  <dcterms:created xsi:type="dcterms:W3CDTF">2019-05-02T09:53:00Z</dcterms:created>
  <dcterms:modified xsi:type="dcterms:W3CDTF">2019-05-02T10:01:00Z</dcterms:modified>
</cp:coreProperties>
</file>