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0857" w14:textId="251D9C8D" w:rsidR="00E7351F" w:rsidRDefault="00B53016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Required results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2"/>
        <w:gridCol w:w="2518"/>
      </w:tblGrid>
      <w:tr w:rsidR="00B53016" w14:paraId="4F54E777" w14:textId="77777777" w:rsidTr="00EB3392">
        <w:trPr>
          <w:trHeight w:val="252"/>
        </w:trPr>
        <w:tc>
          <w:tcPr>
            <w:tcW w:w="1872" w:type="dxa"/>
          </w:tcPr>
          <w:p w14:paraId="19757690" w14:textId="3BF2DA42" w:rsidR="00B53016" w:rsidRPr="00EB3392" w:rsidRDefault="00B53016">
            <w:pPr>
              <w:rPr>
                <w:rFonts w:ascii="Tahoma" w:hAnsi="Tahoma" w:cs="Tahoma"/>
                <w:i w:val="0"/>
                <w:sz w:val="18"/>
              </w:rPr>
            </w:pPr>
            <w:r w:rsidRPr="00EB3392">
              <w:rPr>
                <w:rFonts w:ascii="Tahoma" w:hAnsi="Tahoma" w:cs="Tahoma"/>
                <w:i w:val="0"/>
                <w:sz w:val="18"/>
              </w:rPr>
              <w:t xml:space="preserve">DD </w:t>
            </w:r>
            <w:r w:rsidR="00EB3392" w:rsidRPr="00EB3392">
              <w:rPr>
                <w:rFonts w:ascii="Tahoma" w:hAnsi="Tahoma" w:cs="Tahoma"/>
                <w:i w:val="0"/>
                <w:sz w:val="18"/>
              </w:rPr>
              <w:t>Beta for calls</w:t>
            </w:r>
          </w:p>
        </w:tc>
        <w:tc>
          <w:tcPr>
            <w:tcW w:w="2518" w:type="dxa"/>
          </w:tcPr>
          <w:p w14:paraId="4A5238AB" w14:textId="68D434F7" w:rsidR="00B53016" w:rsidRPr="00EB3392" w:rsidRDefault="00EB3392" w:rsidP="00EB3392">
            <w:pPr>
              <w:jc w:val="right"/>
              <w:rPr>
                <w:rFonts w:ascii="Tahoma" w:hAnsi="Tahoma" w:cs="Tahoma"/>
                <w:i w:val="0"/>
                <w:sz w:val="18"/>
              </w:rPr>
            </w:pPr>
            <w:r w:rsidRPr="00EB3392">
              <w:rPr>
                <w:rFonts w:ascii="Tahoma" w:hAnsi="Tahoma" w:cs="Tahoma"/>
                <w:i w:val="0"/>
                <w:sz w:val="18"/>
              </w:rPr>
              <w:t>0.6335351151695856</w:t>
            </w:r>
          </w:p>
        </w:tc>
      </w:tr>
      <w:tr w:rsidR="00B53016" w14:paraId="6F2D6F99" w14:textId="77777777" w:rsidTr="00EB3392">
        <w:trPr>
          <w:trHeight w:val="252"/>
        </w:trPr>
        <w:tc>
          <w:tcPr>
            <w:tcW w:w="1872" w:type="dxa"/>
          </w:tcPr>
          <w:p w14:paraId="074096ED" w14:textId="533FA854" w:rsidR="00B53016" w:rsidRPr="00EB3392" w:rsidRDefault="00EB3392">
            <w:pPr>
              <w:rPr>
                <w:rFonts w:ascii="Tahoma" w:hAnsi="Tahoma" w:cs="Tahoma"/>
                <w:i w:val="0"/>
                <w:sz w:val="18"/>
              </w:rPr>
            </w:pPr>
            <w:r w:rsidRPr="00EB3392">
              <w:rPr>
                <w:rFonts w:ascii="Tahoma" w:hAnsi="Tahoma" w:cs="Tahoma"/>
                <w:i w:val="0"/>
                <w:sz w:val="18"/>
              </w:rPr>
              <w:t>DD Beta for puts</w:t>
            </w:r>
          </w:p>
        </w:tc>
        <w:tc>
          <w:tcPr>
            <w:tcW w:w="2518" w:type="dxa"/>
          </w:tcPr>
          <w:p w14:paraId="53EABBA4" w14:textId="4EF11A60" w:rsidR="00B53016" w:rsidRPr="00EB3392" w:rsidRDefault="00EB3392" w:rsidP="00EB3392">
            <w:pPr>
              <w:jc w:val="right"/>
              <w:rPr>
                <w:rFonts w:ascii="Tahoma" w:hAnsi="Tahoma" w:cs="Tahoma"/>
                <w:i w:val="0"/>
                <w:sz w:val="18"/>
              </w:rPr>
            </w:pPr>
            <w:r w:rsidRPr="00EB3392">
              <w:rPr>
                <w:rFonts w:ascii="Tahoma" w:hAnsi="Tahoma" w:cs="Tahoma"/>
                <w:i w:val="0"/>
                <w:sz w:val="18"/>
              </w:rPr>
              <w:t>0.6961654663085934</w:t>
            </w:r>
          </w:p>
        </w:tc>
      </w:tr>
      <w:tr w:rsidR="00B53016" w14:paraId="6ECA9556" w14:textId="77777777" w:rsidTr="00EB3392">
        <w:trPr>
          <w:trHeight w:val="252"/>
        </w:trPr>
        <w:tc>
          <w:tcPr>
            <w:tcW w:w="1872" w:type="dxa"/>
          </w:tcPr>
          <w:p w14:paraId="3D1F2570" w14:textId="7DDAC413" w:rsidR="00B53016" w:rsidRPr="00EB3392" w:rsidRDefault="00FD7F13">
            <w:pPr>
              <w:rPr>
                <w:rFonts w:ascii="Tahoma" w:hAnsi="Tahoma" w:cs="Tahoma"/>
                <w:i w:val="0"/>
                <w:sz w:val="18"/>
              </w:rPr>
            </w:pPr>
            <w:r>
              <w:rPr>
                <w:rFonts w:ascii="Tahoma" w:hAnsi="Tahoma" w:cs="Tahoma"/>
                <w:i w:val="0"/>
                <w:sz w:val="18"/>
              </w:rPr>
              <w:t>SABR Alpha</w:t>
            </w:r>
          </w:p>
        </w:tc>
        <w:tc>
          <w:tcPr>
            <w:tcW w:w="2518" w:type="dxa"/>
          </w:tcPr>
          <w:p w14:paraId="6EEC000B" w14:textId="780DB05B" w:rsidR="00B53016" w:rsidRPr="00FD7F13" w:rsidRDefault="00FD7F13" w:rsidP="00EB3392">
            <w:pPr>
              <w:jc w:val="right"/>
              <w:rPr>
                <w:rFonts w:ascii="Tahoma" w:hAnsi="Tahoma" w:cs="Tahoma"/>
                <w:i w:val="0"/>
                <w:sz w:val="18"/>
              </w:rPr>
            </w:pPr>
            <w:r w:rsidRPr="00FD7F13">
              <w:rPr>
                <w:rFonts w:ascii="Tahoma" w:hAnsi="Tahoma" w:cs="Tahoma"/>
                <w:i w:val="0"/>
                <w:sz w:val="18"/>
              </w:rPr>
              <w:t>0.9907772779928059</w:t>
            </w:r>
          </w:p>
        </w:tc>
      </w:tr>
      <w:tr w:rsidR="00B53016" w14:paraId="288088B4" w14:textId="77777777" w:rsidTr="00EB3392">
        <w:trPr>
          <w:trHeight w:val="267"/>
        </w:trPr>
        <w:tc>
          <w:tcPr>
            <w:tcW w:w="1872" w:type="dxa"/>
          </w:tcPr>
          <w:p w14:paraId="6CD00172" w14:textId="628E548E" w:rsidR="00B53016" w:rsidRPr="00EB3392" w:rsidRDefault="00EB3392">
            <w:pPr>
              <w:rPr>
                <w:rFonts w:ascii="Tahoma" w:hAnsi="Tahoma" w:cs="Tahoma"/>
                <w:i w:val="0"/>
                <w:sz w:val="18"/>
              </w:rPr>
            </w:pPr>
            <w:r>
              <w:rPr>
                <w:rFonts w:ascii="Tahoma" w:hAnsi="Tahoma" w:cs="Tahoma"/>
                <w:i w:val="0"/>
                <w:sz w:val="18"/>
              </w:rPr>
              <w:t>SABR Rho</w:t>
            </w:r>
          </w:p>
        </w:tc>
        <w:tc>
          <w:tcPr>
            <w:tcW w:w="2518" w:type="dxa"/>
          </w:tcPr>
          <w:p w14:paraId="02D46057" w14:textId="5B1FE45D" w:rsidR="00B53016" w:rsidRPr="00EB3392" w:rsidRDefault="00EB3392" w:rsidP="00EB3392">
            <w:pPr>
              <w:jc w:val="right"/>
              <w:rPr>
                <w:rFonts w:ascii="Tahoma" w:hAnsi="Tahoma" w:cs="Tahoma"/>
                <w:i w:val="0"/>
                <w:sz w:val="18"/>
              </w:rPr>
            </w:pPr>
            <w:r w:rsidRPr="00EB3392">
              <w:rPr>
                <w:rFonts w:ascii="Tahoma" w:hAnsi="Tahoma" w:cs="Tahoma"/>
                <w:i w:val="0"/>
                <w:sz w:val="18"/>
              </w:rPr>
              <w:t>-0.2851471456675992</w:t>
            </w:r>
          </w:p>
        </w:tc>
      </w:tr>
      <w:tr w:rsidR="00B53016" w14:paraId="1214F628" w14:textId="77777777" w:rsidTr="00EB3392">
        <w:trPr>
          <w:trHeight w:val="252"/>
        </w:trPr>
        <w:tc>
          <w:tcPr>
            <w:tcW w:w="1872" w:type="dxa"/>
          </w:tcPr>
          <w:p w14:paraId="6609237A" w14:textId="6660CB02" w:rsidR="00B53016" w:rsidRPr="00EB3392" w:rsidRDefault="00EB3392">
            <w:pPr>
              <w:rPr>
                <w:rFonts w:ascii="Tahoma" w:hAnsi="Tahoma" w:cs="Tahoma"/>
                <w:i w:val="0"/>
                <w:sz w:val="18"/>
              </w:rPr>
            </w:pPr>
            <w:r>
              <w:rPr>
                <w:rFonts w:ascii="Tahoma" w:hAnsi="Tahoma" w:cs="Tahoma"/>
                <w:i w:val="0"/>
                <w:sz w:val="18"/>
              </w:rPr>
              <w:t>SABR Nu</w:t>
            </w:r>
          </w:p>
        </w:tc>
        <w:tc>
          <w:tcPr>
            <w:tcW w:w="2518" w:type="dxa"/>
          </w:tcPr>
          <w:p w14:paraId="07A2F81C" w14:textId="5A4A8482" w:rsidR="00B53016" w:rsidRPr="00EB3392" w:rsidRDefault="00EB3392" w:rsidP="00EB3392">
            <w:pPr>
              <w:jc w:val="right"/>
              <w:rPr>
                <w:rFonts w:ascii="Tahoma" w:hAnsi="Tahoma" w:cs="Tahoma"/>
                <w:i w:val="0"/>
                <w:sz w:val="18"/>
              </w:rPr>
            </w:pPr>
            <w:r w:rsidRPr="00EB3392">
              <w:rPr>
                <w:rFonts w:ascii="Tahoma" w:hAnsi="Tahoma" w:cs="Tahoma"/>
                <w:i w:val="0"/>
                <w:sz w:val="18"/>
              </w:rPr>
              <w:t>0.35222714450687553</w:t>
            </w:r>
          </w:p>
        </w:tc>
      </w:tr>
    </w:tbl>
    <w:p w14:paraId="0DCDE5B7" w14:textId="75879CFF" w:rsidR="00A922D0" w:rsidRPr="00676053" w:rsidRDefault="00A922D0">
      <w:pPr>
        <w:rPr>
          <w:rFonts w:ascii="Tahoma" w:hAnsi="Tahoma" w:cs="Tahoma"/>
          <w:sz w:val="18"/>
        </w:rPr>
      </w:pPr>
    </w:p>
    <w:p w14:paraId="6E9ED0C7" w14:textId="6D6CD495" w:rsidR="004D425F" w:rsidRPr="00676053" w:rsidRDefault="004D425F">
      <w:pPr>
        <w:rPr>
          <w:rFonts w:ascii="Tahoma" w:hAnsi="Tahoma" w:cs="Tahoma"/>
          <w:sz w:val="18"/>
        </w:rPr>
      </w:pPr>
    </w:p>
    <w:p w14:paraId="03244B99" w14:textId="04C7A95B" w:rsidR="004D425F" w:rsidRDefault="004B6868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Implied volatility </w:t>
      </w:r>
      <w:r w:rsidR="004A638F">
        <w:rPr>
          <w:rFonts w:ascii="Tahoma" w:hAnsi="Tahoma" w:cs="Tahoma"/>
          <w:sz w:val="18"/>
        </w:rPr>
        <w:t xml:space="preserve">from market prices </w:t>
      </w:r>
      <w:r>
        <w:rPr>
          <w:rFonts w:ascii="Tahoma" w:hAnsi="Tahoma" w:cs="Tahoma"/>
          <w:sz w:val="18"/>
        </w:rPr>
        <w:t>w</w:t>
      </w:r>
      <w:r w:rsidR="004A638F">
        <w:rPr>
          <w:rFonts w:ascii="Tahoma" w:hAnsi="Tahoma" w:cs="Tahoma"/>
          <w:sz w:val="18"/>
        </w:rPr>
        <w:t>ere extracted using the Displaced Diffusion</w:t>
      </w:r>
      <w:r w:rsidR="001C684A">
        <w:rPr>
          <w:rFonts w:ascii="Tahoma" w:hAnsi="Tahoma" w:cs="Tahoma"/>
          <w:sz w:val="18"/>
        </w:rPr>
        <w:t xml:space="preserve"> (DD)</w:t>
      </w:r>
      <w:r w:rsidR="004A638F">
        <w:rPr>
          <w:rFonts w:ascii="Tahoma" w:hAnsi="Tahoma" w:cs="Tahoma"/>
          <w:sz w:val="18"/>
        </w:rPr>
        <w:t xml:space="preserve"> model with Beta=1, equivalent to the Black-</w:t>
      </w:r>
      <w:r w:rsidR="00FE3B56">
        <w:rPr>
          <w:rFonts w:ascii="Tahoma" w:hAnsi="Tahoma" w:cs="Tahoma"/>
          <w:sz w:val="18"/>
        </w:rPr>
        <w:t>76 Lo</w:t>
      </w:r>
      <w:bookmarkStart w:id="0" w:name="_GoBack"/>
      <w:bookmarkEnd w:id="0"/>
      <w:r w:rsidR="00FE3B56">
        <w:rPr>
          <w:rFonts w:ascii="Tahoma" w:hAnsi="Tahoma" w:cs="Tahoma"/>
          <w:sz w:val="18"/>
        </w:rPr>
        <w:t>gnormal option pricing model</w:t>
      </w:r>
      <w:r w:rsidR="008E41AB">
        <w:rPr>
          <w:rFonts w:ascii="Tahoma" w:hAnsi="Tahoma" w:cs="Tahoma"/>
          <w:sz w:val="18"/>
        </w:rPr>
        <w:t xml:space="preserve"> and plot as “Market-IV”.</w:t>
      </w:r>
    </w:p>
    <w:p w14:paraId="7E45E0F6" w14:textId="7603B16E" w:rsidR="001C684A" w:rsidRDefault="001C684A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Differing values of Betas were input into the DD model to </w:t>
      </w:r>
      <w:r w:rsidR="00CA68E1">
        <w:rPr>
          <w:rFonts w:ascii="Tahoma" w:hAnsi="Tahoma" w:cs="Tahoma"/>
          <w:sz w:val="18"/>
        </w:rPr>
        <w:t xml:space="preserve">estimate </w:t>
      </w:r>
      <w:r w:rsidR="007A5259">
        <w:rPr>
          <w:rFonts w:ascii="Tahoma" w:hAnsi="Tahoma" w:cs="Tahoma"/>
          <w:sz w:val="18"/>
        </w:rPr>
        <w:t xml:space="preserve">which </w:t>
      </w:r>
      <w:r w:rsidR="007B2F6D">
        <w:rPr>
          <w:rFonts w:ascii="Tahoma" w:hAnsi="Tahoma" w:cs="Tahoma"/>
          <w:sz w:val="18"/>
        </w:rPr>
        <w:t xml:space="preserve">Beta </w:t>
      </w:r>
      <w:r w:rsidR="00B92DFE">
        <w:rPr>
          <w:rFonts w:ascii="Tahoma" w:hAnsi="Tahoma" w:cs="Tahoma"/>
          <w:sz w:val="18"/>
        </w:rPr>
        <w:t>parameter</w:t>
      </w:r>
      <w:r w:rsidR="007A5259">
        <w:rPr>
          <w:rFonts w:ascii="Tahoma" w:hAnsi="Tahoma" w:cs="Tahoma"/>
          <w:sz w:val="18"/>
        </w:rPr>
        <w:t xml:space="preserve"> </w:t>
      </w:r>
      <w:r w:rsidR="00B92DFE">
        <w:rPr>
          <w:rFonts w:ascii="Tahoma" w:hAnsi="Tahoma" w:cs="Tahoma"/>
          <w:sz w:val="18"/>
        </w:rPr>
        <w:t xml:space="preserve">would most closely represent </w:t>
      </w:r>
      <w:r w:rsidR="007B2F6D">
        <w:rPr>
          <w:rFonts w:ascii="Tahoma" w:hAnsi="Tahoma" w:cs="Tahoma"/>
          <w:sz w:val="18"/>
        </w:rPr>
        <w:t>the implied volatility</w:t>
      </w:r>
      <w:r w:rsidR="00B92DFE">
        <w:rPr>
          <w:rFonts w:ascii="Tahoma" w:hAnsi="Tahoma" w:cs="Tahoma"/>
          <w:sz w:val="18"/>
        </w:rPr>
        <w:t xml:space="preserve"> observed in the market. </w:t>
      </w:r>
      <w:r w:rsidR="007B2F6D">
        <w:rPr>
          <w:rFonts w:ascii="Tahoma" w:hAnsi="Tahoma" w:cs="Tahoma"/>
          <w:sz w:val="18"/>
        </w:rPr>
        <w:t xml:space="preserve">The main challenge </w:t>
      </w:r>
      <w:r w:rsidR="006D3EEA">
        <w:rPr>
          <w:rFonts w:ascii="Tahoma" w:hAnsi="Tahoma" w:cs="Tahoma"/>
          <w:sz w:val="18"/>
        </w:rPr>
        <w:t>in fitting</w:t>
      </w:r>
      <w:r w:rsidR="007B2F6D">
        <w:rPr>
          <w:rFonts w:ascii="Tahoma" w:hAnsi="Tahoma" w:cs="Tahoma"/>
          <w:sz w:val="18"/>
        </w:rPr>
        <w:t xml:space="preserve"> the </w:t>
      </w:r>
      <w:r w:rsidR="009B30B2">
        <w:rPr>
          <w:rFonts w:ascii="Tahoma" w:hAnsi="Tahoma" w:cs="Tahoma"/>
          <w:sz w:val="18"/>
        </w:rPr>
        <w:t xml:space="preserve">model </w:t>
      </w:r>
      <w:r w:rsidR="006D3EEA">
        <w:rPr>
          <w:rFonts w:ascii="Tahoma" w:hAnsi="Tahoma" w:cs="Tahoma"/>
          <w:sz w:val="18"/>
        </w:rPr>
        <w:t xml:space="preserve">was </w:t>
      </w:r>
      <w:r w:rsidR="00650FE2">
        <w:rPr>
          <w:rFonts w:ascii="Tahoma" w:hAnsi="Tahoma" w:cs="Tahoma"/>
          <w:sz w:val="18"/>
        </w:rPr>
        <w:t>that in attempting to fit</w:t>
      </w:r>
      <w:r w:rsidR="00801D07">
        <w:rPr>
          <w:rFonts w:ascii="Tahoma" w:hAnsi="Tahoma" w:cs="Tahoma"/>
          <w:sz w:val="18"/>
        </w:rPr>
        <w:t xml:space="preserve"> the IV of</w:t>
      </w:r>
      <w:r w:rsidR="009B30B2">
        <w:rPr>
          <w:rFonts w:ascii="Tahoma" w:hAnsi="Tahoma" w:cs="Tahoma"/>
          <w:sz w:val="18"/>
        </w:rPr>
        <w:t xml:space="preserve"> the lower strikes</w:t>
      </w:r>
      <w:r w:rsidR="00650FE2">
        <w:rPr>
          <w:rFonts w:ascii="Tahoma" w:hAnsi="Tahoma" w:cs="Tahoma"/>
          <w:sz w:val="18"/>
        </w:rPr>
        <w:t>,</w:t>
      </w:r>
      <w:r w:rsidR="009B30B2">
        <w:rPr>
          <w:rFonts w:ascii="Tahoma" w:hAnsi="Tahoma" w:cs="Tahoma"/>
          <w:sz w:val="18"/>
        </w:rPr>
        <w:t xml:space="preserve"> we </w:t>
      </w:r>
      <w:proofErr w:type="gramStart"/>
      <w:r w:rsidR="009B30B2">
        <w:rPr>
          <w:rFonts w:ascii="Tahoma" w:hAnsi="Tahoma" w:cs="Tahoma"/>
          <w:sz w:val="18"/>
        </w:rPr>
        <w:t>have to</w:t>
      </w:r>
      <w:proofErr w:type="gramEnd"/>
      <w:r w:rsidR="009B30B2">
        <w:rPr>
          <w:rFonts w:ascii="Tahoma" w:hAnsi="Tahoma" w:cs="Tahoma"/>
          <w:sz w:val="18"/>
        </w:rPr>
        <w:t xml:space="preserve"> </w:t>
      </w:r>
      <w:r w:rsidR="00801D07">
        <w:rPr>
          <w:rFonts w:ascii="Tahoma" w:hAnsi="Tahoma" w:cs="Tahoma"/>
          <w:sz w:val="18"/>
        </w:rPr>
        <w:t>accept a larger deviation in the IV of the higher strikes</w:t>
      </w:r>
      <w:r w:rsidR="00650FE2">
        <w:rPr>
          <w:rFonts w:ascii="Tahoma" w:hAnsi="Tahoma" w:cs="Tahoma"/>
          <w:sz w:val="18"/>
        </w:rPr>
        <w:t xml:space="preserve">, and vice versa. </w:t>
      </w:r>
    </w:p>
    <w:p w14:paraId="06BAB2FD" w14:textId="5DAF6E03" w:rsidR="00AC3B4F" w:rsidRDefault="00AC3B4F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A least-squares method was used to find the Beta that would most closely </w:t>
      </w:r>
      <w:r w:rsidR="00B459CF">
        <w:rPr>
          <w:rFonts w:ascii="Tahoma" w:hAnsi="Tahoma" w:cs="Tahoma"/>
          <w:sz w:val="18"/>
        </w:rPr>
        <w:t xml:space="preserve">fit market IV. </w:t>
      </w:r>
      <w:r w:rsidR="00065547">
        <w:rPr>
          <w:rFonts w:ascii="Tahoma" w:hAnsi="Tahoma" w:cs="Tahoma"/>
          <w:sz w:val="18"/>
        </w:rPr>
        <w:t xml:space="preserve">This resulted in Beta parameters of approximately </w:t>
      </w:r>
      <w:r w:rsidR="00065547" w:rsidRPr="00065547">
        <w:rPr>
          <w:rFonts w:ascii="Tahoma" w:hAnsi="Tahoma" w:cs="Tahoma"/>
          <w:sz w:val="18"/>
        </w:rPr>
        <w:t>0.6335</w:t>
      </w:r>
      <w:r w:rsidR="00065547">
        <w:rPr>
          <w:rFonts w:ascii="Tahoma" w:hAnsi="Tahoma" w:cs="Tahoma"/>
          <w:sz w:val="18"/>
        </w:rPr>
        <w:t xml:space="preserve"> for calls and </w:t>
      </w:r>
      <w:r w:rsidR="00065547" w:rsidRPr="00065547">
        <w:rPr>
          <w:rFonts w:ascii="Tahoma" w:hAnsi="Tahoma" w:cs="Tahoma"/>
          <w:sz w:val="18"/>
        </w:rPr>
        <w:t>0.696</w:t>
      </w:r>
      <w:r w:rsidR="00065547">
        <w:rPr>
          <w:rFonts w:ascii="Tahoma" w:hAnsi="Tahoma" w:cs="Tahoma"/>
          <w:sz w:val="18"/>
        </w:rPr>
        <w:t xml:space="preserve">2 for puts. </w:t>
      </w:r>
      <w:r w:rsidR="003E2CF3">
        <w:rPr>
          <w:rFonts w:ascii="Tahoma" w:hAnsi="Tahoma" w:cs="Tahoma"/>
          <w:sz w:val="18"/>
        </w:rPr>
        <w:t>The two DD model lines are then plot below.</w:t>
      </w:r>
    </w:p>
    <w:p w14:paraId="2E1C56DC" w14:textId="2A2495DE" w:rsidR="003E2CF3" w:rsidRDefault="003E2CF3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We note that </w:t>
      </w:r>
      <w:r w:rsidR="00074DCC">
        <w:rPr>
          <w:rFonts w:ascii="Tahoma" w:hAnsi="Tahoma" w:cs="Tahoma"/>
          <w:sz w:val="18"/>
        </w:rPr>
        <w:t xml:space="preserve">while it does a sufficiently good job at matching higher strike IVs, </w:t>
      </w:r>
      <w:r>
        <w:rPr>
          <w:rFonts w:ascii="Tahoma" w:hAnsi="Tahoma" w:cs="Tahoma"/>
          <w:sz w:val="18"/>
        </w:rPr>
        <w:t xml:space="preserve">it </w:t>
      </w:r>
      <w:r w:rsidR="00C47EC2">
        <w:rPr>
          <w:rFonts w:ascii="Tahoma" w:hAnsi="Tahoma" w:cs="Tahoma"/>
          <w:sz w:val="18"/>
        </w:rPr>
        <w:t>gives a poor fit for</w:t>
      </w:r>
      <w:r w:rsidR="00074DCC">
        <w:rPr>
          <w:rFonts w:ascii="Tahoma" w:hAnsi="Tahoma" w:cs="Tahoma"/>
          <w:sz w:val="18"/>
        </w:rPr>
        <w:t xml:space="preserve"> the IVs of the lower strikes. </w:t>
      </w:r>
    </w:p>
    <w:p w14:paraId="58962902" w14:textId="2C9C6596" w:rsidR="00C47EC2" w:rsidRPr="00676053" w:rsidRDefault="00C47EC2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The reason for this is that the market is pricing in a much higher IV value for lower strikes</w:t>
      </w:r>
      <w:r w:rsidR="00EB0331">
        <w:rPr>
          <w:rFonts w:ascii="Tahoma" w:hAnsi="Tahoma" w:cs="Tahoma"/>
          <w:sz w:val="18"/>
        </w:rPr>
        <w:t xml:space="preserve"> than these models suggest, likely due to behavioural reasons rooted in risk aversion</w:t>
      </w:r>
      <w:r w:rsidR="00A01B1A">
        <w:rPr>
          <w:rFonts w:ascii="Tahoma" w:hAnsi="Tahoma" w:cs="Tahoma"/>
          <w:sz w:val="18"/>
        </w:rPr>
        <w:t xml:space="preserve">, i.e. investors are willing to pay relatively high premiums for </w:t>
      </w:r>
      <w:r w:rsidR="001E4AC4">
        <w:rPr>
          <w:rFonts w:ascii="Tahoma" w:hAnsi="Tahoma" w:cs="Tahoma"/>
          <w:sz w:val="18"/>
        </w:rPr>
        <w:t>protection against large</w:t>
      </w:r>
      <w:r w:rsidR="00A01B1A">
        <w:rPr>
          <w:rFonts w:ascii="Tahoma" w:hAnsi="Tahoma" w:cs="Tahoma"/>
          <w:sz w:val="18"/>
        </w:rPr>
        <w:t xml:space="preserve"> downside</w:t>
      </w:r>
      <w:r w:rsidR="001E4AC4">
        <w:rPr>
          <w:rFonts w:ascii="Tahoma" w:hAnsi="Tahoma" w:cs="Tahoma"/>
          <w:sz w:val="18"/>
        </w:rPr>
        <w:t xml:space="preserve"> moves.</w:t>
      </w:r>
    </w:p>
    <w:p w14:paraId="230FA20C" w14:textId="29C8611B" w:rsidR="00A922D0" w:rsidRPr="00676053" w:rsidRDefault="00A922D0">
      <w:pPr>
        <w:rPr>
          <w:rFonts w:ascii="Tahoma" w:hAnsi="Tahoma" w:cs="Tahoma"/>
          <w:sz w:val="18"/>
        </w:rPr>
      </w:pPr>
    </w:p>
    <w:p w14:paraId="07420BE0" w14:textId="416B52D1" w:rsidR="00A922D0" w:rsidRDefault="00676053">
      <w:pPr>
        <w:rPr>
          <w:rFonts w:ascii="Tahoma" w:hAnsi="Tahoma" w:cs="Tahoma"/>
          <w:sz w:val="18"/>
        </w:rPr>
      </w:pPr>
      <w:r w:rsidRPr="00676053">
        <w:rPr>
          <w:rFonts w:ascii="Tahoma" w:hAnsi="Tahoma" w:cs="Tahoma"/>
          <w:noProof/>
          <w:sz w:val="18"/>
        </w:rPr>
        <w:drawing>
          <wp:inline distT="0" distB="0" distL="0" distR="0" wp14:anchorId="0615A5BB" wp14:editId="78B6C369">
            <wp:extent cx="5731510" cy="3894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6DB" w14:textId="4D292B9C" w:rsidR="0051699F" w:rsidRDefault="0051699F">
      <w:pPr>
        <w:rPr>
          <w:rFonts w:ascii="Tahoma" w:hAnsi="Tahoma" w:cs="Tahoma"/>
          <w:sz w:val="18"/>
        </w:rPr>
      </w:pPr>
    </w:p>
    <w:p w14:paraId="3F7AE786" w14:textId="6910D013" w:rsidR="0051699F" w:rsidRDefault="0051699F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br w:type="page"/>
      </w:r>
    </w:p>
    <w:p w14:paraId="01EFACFB" w14:textId="7DA385F2" w:rsidR="00F315D5" w:rsidRDefault="00F315D5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lastRenderedPageBreak/>
        <w:t xml:space="preserve">By visual estimation, we used the SABR model to fit </w:t>
      </w:r>
      <w:r w:rsidR="009B4B4F">
        <w:rPr>
          <w:rFonts w:ascii="Tahoma" w:hAnsi="Tahoma" w:cs="Tahoma"/>
          <w:sz w:val="18"/>
        </w:rPr>
        <w:t>the market IV.</w:t>
      </w:r>
    </w:p>
    <w:p w14:paraId="450B6549" w14:textId="4EA319A4" w:rsidR="0051699F" w:rsidRDefault="009B4B4F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Following which, w</w:t>
      </w:r>
      <w:r w:rsidR="008F7CC3">
        <w:rPr>
          <w:rFonts w:ascii="Tahoma" w:hAnsi="Tahoma" w:cs="Tahoma"/>
          <w:sz w:val="18"/>
        </w:rPr>
        <w:t xml:space="preserve">e calibrated the SABR model using the least squares method and obtained the following parameters of Alpha, Rho, and Nu, while keeping Beta fixed at 0.8. </w:t>
      </w:r>
    </w:p>
    <w:p w14:paraId="07FB6461" w14:textId="319F008A" w:rsidR="008F7CC3" w:rsidRDefault="009B4B4F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The calibrated SABR model fits the market IV very well, and this can be explained by the extra parameters which allow us to </w:t>
      </w:r>
      <w:r w:rsidR="000A2A30">
        <w:rPr>
          <w:rFonts w:ascii="Tahoma" w:hAnsi="Tahoma" w:cs="Tahoma"/>
          <w:sz w:val="18"/>
        </w:rPr>
        <w:t>tweak the shape of the curve.</w:t>
      </w:r>
    </w:p>
    <w:p w14:paraId="7B2CEB7D" w14:textId="77777777" w:rsidR="008F7CC3" w:rsidRPr="00676053" w:rsidRDefault="008F7CC3">
      <w:pPr>
        <w:rPr>
          <w:rFonts w:ascii="Tahoma" w:hAnsi="Tahoma" w:cs="Tahoma"/>
          <w:sz w:val="18"/>
        </w:rPr>
      </w:pPr>
    </w:p>
    <w:p w14:paraId="00929074" w14:textId="3BE47850" w:rsidR="00A922D0" w:rsidRDefault="000712DD">
      <w:pPr>
        <w:rPr>
          <w:rFonts w:ascii="Tahoma" w:hAnsi="Tahoma" w:cs="Tahoma"/>
          <w:sz w:val="18"/>
        </w:rPr>
      </w:pPr>
      <w:r w:rsidRPr="00676053">
        <w:rPr>
          <w:rFonts w:ascii="Tahoma" w:hAnsi="Tahoma" w:cs="Tahoma"/>
          <w:noProof/>
          <w:sz w:val="18"/>
        </w:rPr>
        <w:drawing>
          <wp:inline distT="0" distB="0" distL="0" distR="0" wp14:anchorId="6B103CBE" wp14:editId="26C70EE4">
            <wp:extent cx="5731510" cy="3894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6828" w14:textId="5CF0B13A" w:rsidR="000A2A30" w:rsidRDefault="000A2A30">
      <w:pPr>
        <w:rPr>
          <w:rFonts w:ascii="Tahoma" w:hAnsi="Tahoma" w:cs="Tahoma"/>
          <w:sz w:val="18"/>
        </w:rPr>
      </w:pPr>
    </w:p>
    <w:p w14:paraId="3D2580AF" w14:textId="77777777" w:rsidR="008D1DA7" w:rsidRDefault="008D1DA7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br w:type="page"/>
      </w:r>
    </w:p>
    <w:p w14:paraId="18CBF117" w14:textId="4C28327B" w:rsidR="000A2A30" w:rsidRDefault="000A2A30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lastRenderedPageBreak/>
        <w:t>SABR Alpha</w:t>
      </w:r>
    </w:p>
    <w:p w14:paraId="53CBA389" w14:textId="3CFA4224" w:rsidR="000A2A30" w:rsidRDefault="000A2A30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Alpha </w:t>
      </w:r>
      <w:r w:rsidR="00FF1ED3">
        <w:rPr>
          <w:rFonts w:ascii="Tahoma" w:hAnsi="Tahoma" w:cs="Tahoma"/>
          <w:sz w:val="18"/>
        </w:rPr>
        <w:t xml:space="preserve">adjusts for the height of the </w:t>
      </w:r>
      <w:proofErr w:type="gramStart"/>
      <w:r w:rsidR="00FF1ED3">
        <w:rPr>
          <w:rFonts w:ascii="Tahoma" w:hAnsi="Tahoma" w:cs="Tahoma"/>
          <w:sz w:val="18"/>
        </w:rPr>
        <w:t>curve</w:t>
      </w:r>
      <w:r w:rsidR="00D578BE">
        <w:rPr>
          <w:rFonts w:ascii="Tahoma" w:hAnsi="Tahoma" w:cs="Tahoma"/>
          <w:sz w:val="18"/>
        </w:rPr>
        <w:t>, and</w:t>
      </w:r>
      <w:proofErr w:type="gramEnd"/>
      <w:r w:rsidR="00D578BE">
        <w:rPr>
          <w:rFonts w:ascii="Tahoma" w:hAnsi="Tahoma" w:cs="Tahoma"/>
          <w:sz w:val="18"/>
        </w:rPr>
        <w:t xml:space="preserve"> represents the </w:t>
      </w:r>
      <w:r w:rsidR="009764A2">
        <w:rPr>
          <w:rFonts w:ascii="Tahoma" w:hAnsi="Tahoma" w:cs="Tahoma"/>
          <w:sz w:val="18"/>
        </w:rPr>
        <w:t>constant</w:t>
      </w:r>
      <w:r w:rsidR="00DC291F">
        <w:rPr>
          <w:rFonts w:ascii="Tahoma" w:hAnsi="Tahoma" w:cs="Tahoma"/>
          <w:sz w:val="18"/>
        </w:rPr>
        <w:t xml:space="preserve"> of </w:t>
      </w:r>
      <w:r w:rsidR="001C1961">
        <w:rPr>
          <w:rFonts w:ascii="Tahoma" w:hAnsi="Tahoma" w:cs="Tahoma"/>
          <w:sz w:val="18"/>
        </w:rPr>
        <w:t xml:space="preserve">the </w:t>
      </w:r>
      <w:r w:rsidR="009764A2">
        <w:rPr>
          <w:rFonts w:ascii="Tahoma" w:hAnsi="Tahoma" w:cs="Tahoma"/>
          <w:sz w:val="18"/>
        </w:rPr>
        <w:t xml:space="preserve">volatility </w:t>
      </w:r>
      <w:r w:rsidR="001C1961">
        <w:rPr>
          <w:rFonts w:ascii="Tahoma" w:hAnsi="Tahoma" w:cs="Tahoma"/>
          <w:sz w:val="18"/>
        </w:rPr>
        <w:t xml:space="preserve">parameter. </w:t>
      </w:r>
      <w:r w:rsidR="00B80751">
        <w:rPr>
          <w:rFonts w:ascii="Tahoma" w:hAnsi="Tahoma" w:cs="Tahoma"/>
          <w:sz w:val="18"/>
        </w:rPr>
        <w:t xml:space="preserve">It </w:t>
      </w:r>
      <w:proofErr w:type="gramStart"/>
      <w:r w:rsidR="00B80751">
        <w:rPr>
          <w:rFonts w:ascii="Tahoma" w:hAnsi="Tahoma" w:cs="Tahoma"/>
          <w:sz w:val="18"/>
        </w:rPr>
        <w:t>can be seen as</w:t>
      </w:r>
      <w:proofErr w:type="gramEnd"/>
      <w:r w:rsidR="00B80751">
        <w:rPr>
          <w:rFonts w:ascii="Tahoma" w:hAnsi="Tahoma" w:cs="Tahoma"/>
          <w:sz w:val="18"/>
        </w:rPr>
        <w:t xml:space="preserve"> a baseline </w:t>
      </w:r>
      <w:r w:rsidR="00DC291F">
        <w:rPr>
          <w:rFonts w:ascii="Tahoma" w:hAnsi="Tahoma" w:cs="Tahoma"/>
          <w:sz w:val="18"/>
        </w:rPr>
        <w:t xml:space="preserve">IV that is built into </w:t>
      </w:r>
      <w:r w:rsidR="00B80751">
        <w:rPr>
          <w:rFonts w:ascii="Tahoma" w:hAnsi="Tahoma" w:cs="Tahoma"/>
          <w:sz w:val="18"/>
        </w:rPr>
        <w:t xml:space="preserve">all </w:t>
      </w:r>
      <w:r w:rsidR="00DC291F">
        <w:rPr>
          <w:rFonts w:ascii="Tahoma" w:hAnsi="Tahoma" w:cs="Tahoma"/>
          <w:sz w:val="18"/>
        </w:rPr>
        <w:t xml:space="preserve">the option prices. </w:t>
      </w:r>
    </w:p>
    <w:p w14:paraId="7443E718" w14:textId="6F3022B5" w:rsidR="00C66BDF" w:rsidRDefault="0012223E">
      <w:pPr>
        <w:rPr>
          <w:rFonts w:ascii="Tahoma" w:hAnsi="Tahoma" w:cs="Tahoma"/>
          <w:sz w:val="18"/>
        </w:rPr>
      </w:pPr>
      <w:r w:rsidRPr="00676053">
        <w:rPr>
          <w:rFonts w:ascii="Tahoma" w:hAnsi="Tahoma" w:cs="Tahoma"/>
          <w:noProof/>
          <w:sz w:val="18"/>
        </w:rPr>
        <w:drawing>
          <wp:inline distT="0" distB="0" distL="0" distR="0" wp14:anchorId="24B07B88" wp14:editId="51CB1D77">
            <wp:extent cx="5731510" cy="3894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936B" w14:textId="77777777" w:rsidR="008D1DA7" w:rsidRDefault="008D1DA7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br w:type="page"/>
      </w:r>
    </w:p>
    <w:p w14:paraId="29413651" w14:textId="62C697E8" w:rsidR="00C66BDF" w:rsidRDefault="00C66BDF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lastRenderedPageBreak/>
        <w:t>SABR Rho</w:t>
      </w:r>
    </w:p>
    <w:p w14:paraId="2D8D2B5A" w14:textId="77777777" w:rsidR="00757A77" w:rsidRDefault="00B81EA6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In the Black-Scholes model, the volatility term is deterministic, whereas in the SABR model, volatility of returns </w:t>
      </w:r>
      <w:proofErr w:type="gramStart"/>
      <w:r>
        <w:rPr>
          <w:rFonts w:ascii="Tahoma" w:hAnsi="Tahoma" w:cs="Tahoma"/>
          <w:sz w:val="18"/>
        </w:rPr>
        <w:t>are</w:t>
      </w:r>
      <w:proofErr w:type="gramEnd"/>
      <w:r>
        <w:rPr>
          <w:rFonts w:ascii="Tahoma" w:hAnsi="Tahoma" w:cs="Tahoma"/>
          <w:sz w:val="18"/>
        </w:rPr>
        <w:t xml:space="preserve"> modelled as being correlated with stock returns. </w:t>
      </w:r>
    </w:p>
    <w:p w14:paraId="36523128" w14:textId="77777777" w:rsidR="004715CF" w:rsidRDefault="00F84A16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Rho adjusts for the skew </w:t>
      </w:r>
      <w:r w:rsidR="00FE47FE">
        <w:rPr>
          <w:rFonts w:ascii="Tahoma" w:hAnsi="Tahoma" w:cs="Tahoma"/>
          <w:sz w:val="18"/>
        </w:rPr>
        <w:t xml:space="preserve">in the distribution of stock returns. </w:t>
      </w:r>
      <w:r w:rsidR="00C26B41">
        <w:rPr>
          <w:rFonts w:ascii="Tahoma" w:hAnsi="Tahoma" w:cs="Tahoma"/>
          <w:sz w:val="18"/>
        </w:rPr>
        <w:t xml:space="preserve">Decreasing the Rho </w:t>
      </w:r>
      <w:r w:rsidR="005A699C">
        <w:rPr>
          <w:rFonts w:ascii="Tahoma" w:hAnsi="Tahoma" w:cs="Tahoma"/>
          <w:sz w:val="18"/>
        </w:rPr>
        <w:t>adjusts for a more negative skew in stock returns</w:t>
      </w:r>
      <w:r w:rsidR="00BD3F26">
        <w:rPr>
          <w:rFonts w:ascii="Tahoma" w:hAnsi="Tahoma" w:cs="Tahoma"/>
          <w:sz w:val="18"/>
        </w:rPr>
        <w:t>. T</w:t>
      </w:r>
      <w:r w:rsidR="006F588E">
        <w:rPr>
          <w:rFonts w:ascii="Tahoma" w:hAnsi="Tahoma" w:cs="Tahoma"/>
          <w:sz w:val="18"/>
        </w:rPr>
        <w:t xml:space="preserve">his allows us to </w:t>
      </w:r>
      <w:r w:rsidR="00AA76E3">
        <w:rPr>
          <w:rFonts w:ascii="Tahoma" w:hAnsi="Tahoma" w:cs="Tahoma"/>
          <w:sz w:val="18"/>
        </w:rPr>
        <w:t>increase the</w:t>
      </w:r>
      <w:r w:rsidR="006F588E">
        <w:rPr>
          <w:rFonts w:ascii="Tahoma" w:hAnsi="Tahoma" w:cs="Tahoma"/>
          <w:sz w:val="18"/>
        </w:rPr>
        <w:t xml:space="preserve"> IVs</w:t>
      </w:r>
      <w:r w:rsidR="00E41BD1">
        <w:rPr>
          <w:rFonts w:ascii="Tahoma" w:hAnsi="Tahoma" w:cs="Tahoma"/>
          <w:sz w:val="18"/>
        </w:rPr>
        <w:t xml:space="preserve"> of the lower strikes </w:t>
      </w:r>
      <w:r w:rsidR="00BD3F26">
        <w:rPr>
          <w:rFonts w:ascii="Tahoma" w:hAnsi="Tahoma" w:cs="Tahoma"/>
          <w:sz w:val="18"/>
        </w:rPr>
        <w:t xml:space="preserve">(OTM puts) </w:t>
      </w:r>
      <w:r w:rsidR="00E41BD1">
        <w:rPr>
          <w:rFonts w:ascii="Tahoma" w:hAnsi="Tahoma" w:cs="Tahoma"/>
          <w:sz w:val="18"/>
        </w:rPr>
        <w:t>to a</w:t>
      </w:r>
      <w:r w:rsidR="006F588E">
        <w:rPr>
          <w:rFonts w:ascii="Tahoma" w:hAnsi="Tahoma" w:cs="Tahoma"/>
          <w:sz w:val="18"/>
        </w:rPr>
        <w:t xml:space="preserve"> higher </w:t>
      </w:r>
      <w:r w:rsidR="00E41BD1">
        <w:rPr>
          <w:rFonts w:ascii="Tahoma" w:hAnsi="Tahoma" w:cs="Tahoma"/>
          <w:sz w:val="18"/>
        </w:rPr>
        <w:t xml:space="preserve">IV </w:t>
      </w:r>
      <w:r w:rsidR="006F588E">
        <w:rPr>
          <w:rFonts w:ascii="Tahoma" w:hAnsi="Tahoma" w:cs="Tahoma"/>
          <w:sz w:val="18"/>
        </w:rPr>
        <w:t xml:space="preserve">than what the Black-Scholes model would </w:t>
      </w:r>
      <w:proofErr w:type="gramStart"/>
      <w:r w:rsidR="006F588E">
        <w:rPr>
          <w:rFonts w:ascii="Tahoma" w:hAnsi="Tahoma" w:cs="Tahoma"/>
          <w:sz w:val="18"/>
        </w:rPr>
        <w:t>suggest</w:t>
      </w:r>
      <w:r w:rsidR="008620C6">
        <w:rPr>
          <w:rFonts w:ascii="Tahoma" w:hAnsi="Tahoma" w:cs="Tahoma"/>
          <w:sz w:val="18"/>
        </w:rPr>
        <w:t>, and</w:t>
      </w:r>
      <w:proofErr w:type="gramEnd"/>
      <w:r w:rsidR="00AA76E3">
        <w:rPr>
          <w:rFonts w:ascii="Tahoma" w:hAnsi="Tahoma" w:cs="Tahoma"/>
          <w:sz w:val="18"/>
        </w:rPr>
        <w:t xml:space="preserve"> decrease the IVs of the higher strikes (OTM calls)</w:t>
      </w:r>
      <w:r w:rsidR="006F588E">
        <w:rPr>
          <w:rFonts w:ascii="Tahoma" w:hAnsi="Tahoma" w:cs="Tahoma"/>
          <w:sz w:val="18"/>
        </w:rPr>
        <w:t>.</w:t>
      </w:r>
      <w:r w:rsidR="005A699C">
        <w:rPr>
          <w:rFonts w:ascii="Tahoma" w:hAnsi="Tahoma" w:cs="Tahoma"/>
          <w:sz w:val="18"/>
        </w:rPr>
        <w:t xml:space="preserve"> </w:t>
      </w:r>
    </w:p>
    <w:p w14:paraId="328CC6D3" w14:textId="6083AB5E" w:rsidR="00F8321F" w:rsidRDefault="00B81EA6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Given that the calibrated correlation parameter is slightly negative, it implies that volatility increases when stock prices decrease.</w:t>
      </w:r>
    </w:p>
    <w:p w14:paraId="6F666310" w14:textId="3CD94D30" w:rsidR="00C66BDF" w:rsidRDefault="00F8321F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The adjustment also accounts for the behavioural</w:t>
      </w:r>
      <w:r w:rsidR="009869C4">
        <w:rPr>
          <w:rFonts w:ascii="Tahoma" w:hAnsi="Tahoma" w:cs="Tahoma"/>
          <w:sz w:val="18"/>
        </w:rPr>
        <w:t xml:space="preserve"> factor that</w:t>
      </w:r>
      <w:r w:rsidR="007F3557">
        <w:rPr>
          <w:rFonts w:ascii="Tahoma" w:hAnsi="Tahoma" w:cs="Tahoma"/>
          <w:sz w:val="18"/>
        </w:rPr>
        <w:t xml:space="preserve"> investors are </w:t>
      </w:r>
      <w:r w:rsidR="009869C4">
        <w:rPr>
          <w:rFonts w:ascii="Tahoma" w:hAnsi="Tahoma" w:cs="Tahoma"/>
          <w:sz w:val="18"/>
        </w:rPr>
        <w:t xml:space="preserve">usually more </w:t>
      </w:r>
      <w:r w:rsidR="007F3557">
        <w:rPr>
          <w:rFonts w:ascii="Tahoma" w:hAnsi="Tahoma" w:cs="Tahoma"/>
          <w:sz w:val="18"/>
        </w:rPr>
        <w:t>worried about downside risks</w:t>
      </w:r>
      <w:r w:rsidR="009869C4">
        <w:rPr>
          <w:rFonts w:ascii="Tahoma" w:hAnsi="Tahoma" w:cs="Tahoma"/>
          <w:sz w:val="18"/>
        </w:rPr>
        <w:t xml:space="preserve"> than upside risks</w:t>
      </w:r>
      <w:r w:rsidR="000B6CCA">
        <w:rPr>
          <w:rFonts w:ascii="Tahoma" w:hAnsi="Tahoma" w:cs="Tahoma"/>
          <w:sz w:val="18"/>
        </w:rPr>
        <w:t xml:space="preserve">, </w:t>
      </w:r>
      <w:r w:rsidR="009869C4">
        <w:rPr>
          <w:rFonts w:ascii="Tahoma" w:hAnsi="Tahoma" w:cs="Tahoma"/>
          <w:sz w:val="18"/>
        </w:rPr>
        <w:t>and thus a</w:t>
      </w:r>
      <w:r w:rsidR="00C512E5">
        <w:rPr>
          <w:rFonts w:ascii="Tahoma" w:hAnsi="Tahoma" w:cs="Tahoma"/>
          <w:sz w:val="18"/>
        </w:rPr>
        <w:t xml:space="preserve">re willing to pay </w:t>
      </w:r>
      <w:r w:rsidR="009869C4">
        <w:rPr>
          <w:rFonts w:ascii="Tahoma" w:hAnsi="Tahoma" w:cs="Tahoma"/>
          <w:sz w:val="18"/>
        </w:rPr>
        <w:t xml:space="preserve">relatively higher prices </w:t>
      </w:r>
      <w:r w:rsidR="00C512E5">
        <w:rPr>
          <w:rFonts w:ascii="Tahoma" w:hAnsi="Tahoma" w:cs="Tahoma"/>
          <w:sz w:val="18"/>
        </w:rPr>
        <w:t>for OTM lower strike puts</w:t>
      </w:r>
      <w:r w:rsidR="009869C4">
        <w:rPr>
          <w:rFonts w:ascii="Tahoma" w:hAnsi="Tahoma" w:cs="Tahoma"/>
          <w:sz w:val="18"/>
        </w:rPr>
        <w:t xml:space="preserve"> as compared to similarly distant </w:t>
      </w:r>
      <w:r w:rsidR="00CD480B">
        <w:rPr>
          <w:rFonts w:ascii="Tahoma" w:hAnsi="Tahoma" w:cs="Tahoma"/>
          <w:sz w:val="18"/>
        </w:rPr>
        <w:t xml:space="preserve">higher strikes </w:t>
      </w:r>
      <w:r w:rsidR="009869C4">
        <w:rPr>
          <w:rFonts w:ascii="Tahoma" w:hAnsi="Tahoma" w:cs="Tahoma"/>
          <w:sz w:val="18"/>
        </w:rPr>
        <w:t>OTM calls</w:t>
      </w:r>
      <w:r w:rsidR="00CD480B">
        <w:rPr>
          <w:rFonts w:ascii="Tahoma" w:hAnsi="Tahoma" w:cs="Tahoma"/>
          <w:sz w:val="18"/>
        </w:rPr>
        <w:t>.</w:t>
      </w:r>
    </w:p>
    <w:p w14:paraId="41B91948" w14:textId="750BC668" w:rsidR="000B6CCA" w:rsidRDefault="000B6CCA">
      <w:pPr>
        <w:rPr>
          <w:rFonts w:ascii="Tahoma" w:hAnsi="Tahoma" w:cs="Tahoma"/>
          <w:sz w:val="18"/>
        </w:rPr>
      </w:pPr>
    </w:p>
    <w:p w14:paraId="371C2FE9" w14:textId="77777777" w:rsidR="009424EC" w:rsidRPr="00676053" w:rsidRDefault="009424EC">
      <w:pPr>
        <w:rPr>
          <w:rFonts w:ascii="Tahoma" w:hAnsi="Tahoma" w:cs="Tahoma"/>
          <w:sz w:val="18"/>
        </w:rPr>
      </w:pPr>
      <w:r w:rsidRPr="00676053">
        <w:rPr>
          <w:rFonts w:ascii="Tahoma" w:hAnsi="Tahoma" w:cs="Tahoma"/>
          <w:noProof/>
          <w:sz w:val="18"/>
        </w:rPr>
        <w:drawing>
          <wp:inline distT="0" distB="0" distL="0" distR="0" wp14:anchorId="02E9E2E5" wp14:editId="61B20E42">
            <wp:extent cx="5731510" cy="3894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CC13" w14:textId="77777777" w:rsidR="008D1DA7" w:rsidRDefault="008D1DA7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br w:type="page"/>
      </w:r>
    </w:p>
    <w:p w14:paraId="12A1BCAC" w14:textId="33489250" w:rsidR="008D1DA7" w:rsidRDefault="008D1DA7" w:rsidP="008D1DA7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lastRenderedPageBreak/>
        <w:t>SABR Nu</w:t>
      </w:r>
    </w:p>
    <w:p w14:paraId="61CFC3DC" w14:textId="77777777" w:rsidR="008D1DA7" w:rsidRDefault="008D1DA7" w:rsidP="008D1DA7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Nu adjusts for the volatility of </w:t>
      </w:r>
      <w:proofErr w:type="gramStart"/>
      <w:r>
        <w:rPr>
          <w:rFonts w:ascii="Tahoma" w:hAnsi="Tahoma" w:cs="Tahoma"/>
          <w:sz w:val="18"/>
        </w:rPr>
        <w:t>volatility, and</w:t>
      </w:r>
      <w:proofErr w:type="gramEnd"/>
      <w:r>
        <w:rPr>
          <w:rFonts w:ascii="Tahoma" w:hAnsi="Tahoma" w:cs="Tahoma"/>
          <w:sz w:val="18"/>
        </w:rPr>
        <w:t xml:space="preserve"> is proportionate to the degree of kurtosis of stock returns. A higher value of Nu increases the IV (and thus prices) of both calls and puts. </w:t>
      </w:r>
    </w:p>
    <w:p w14:paraId="7A99C3A8" w14:textId="77777777" w:rsidR="008D1DA7" w:rsidRPr="00676053" w:rsidRDefault="008D1DA7" w:rsidP="008D1DA7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This, coupled with a negative Rho value, leads to a much better curve that fits market prices and its corresponding expectations. </w:t>
      </w:r>
    </w:p>
    <w:p w14:paraId="4F66D503" w14:textId="09FDD69D" w:rsidR="009424EC" w:rsidRDefault="009424EC">
      <w:pPr>
        <w:rPr>
          <w:rFonts w:ascii="Tahoma" w:hAnsi="Tahoma" w:cs="Tahoma"/>
          <w:sz w:val="18"/>
        </w:rPr>
      </w:pPr>
      <w:r w:rsidRPr="00676053">
        <w:rPr>
          <w:rFonts w:ascii="Tahoma" w:hAnsi="Tahoma" w:cs="Tahoma"/>
          <w:noProof/>
          <w:sz w:val="18"/>
        </w:rPr>
        <w:drawing>
          <wp:inline distT="0" distB="0" distL="0" distR="0" wp14:anchorId="06D9D41F" wp14:editId="6DAB6115">
            <wp:extent cx="5731510" cy="3894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C032" w14:textId="01358646" w:rsidR="0051699F" w:rsidRPr="00676053" w:rsidRDefault="0051699F">
      <w:pPr>
        <w:rPr>
          <w:rFonts w:ascii="Tahoma" w:hAnsi="Tahoma" w:cs="Tahoma"/>
          <w:sz w:val="18"/>
        </w:rPr>
      </w:pPr>
    </w:p>
    <w:sectPr w:rsidR="0051699F" w:rsidRPr="00676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EC"/>
    <w:rsid w:val="00054B53"/>
    <w:rsid w:val="00065547"/>
    <w:rsid w:val="00065917"/>
    <w:rsid w:val="000712DD"/>
    <w:rsid w:val="00074DCC"/>
    <w:rsid w:val="000A2A30"/>
    <w:rsid w:val="000B60CF"/>
    <w:rsid w:val="000B6CCA"/>
    <w:rsid w:val="0012223E"/>
    <w:rsid w:val="001C1961"/>
    <w:rsid w:val="001C684A"/>
    <w:rsid w:val="001E4AC4"/>
    <w:rsid w:val="002C1BEF"/>
    <w:rsid w:val="002C3CB9"/>
    <w:rsid w:val="003E2CF3"/>
    <w:rsid w:val="00436D9E"/>
    <w:rsid w:val="00466FBA"/>
    <w:rsid w:val="004715CF"/>
    <w:rsid w:val="00483AA3"/>
    <w:rsid w:val="004A638F"/>
    <w:rsid w:val="004B6868"/>
    <w:rsid w:val="004C0A8D"/>
    <w:rsid w:val="004D425F"/>
    <w:rsid w:val="0051699F"/>
    <w:rsid w:val="005A699C"/>
    <w:rsid w:val="005A6E6F"/>
    <w:rsid w:val="005F5A8F"/>
    <w:rsid w:val="0061552E"/>
    <w:rsid w:val="00650FE2"/>
    <w:rsid w:val="00676053"/>
    <w:rsid w:val="006C2D96"/>
    <w:rsid w:val="006C70E4"/>
    <w:rsid w:val="006D3EEA"/>
    <w:rsid w:val="006F588E"/>
    <w:rsid w:val="00757A77"/>
    <w:rsid w:val="007A5259"/>
    <w:rsid w:val="007B2F6D"/>
    <w:rsid w:val="007F3557"/>
    <w:rsid w:val="00801D07"/>
    <w:rsid w:val="008620C6"/>
    <w:rsid w:val="008D1DA7"/>
    <w:rsid w:val="008E41AB"/>
    <w:rsid w:val="008F7CC3"/>
    <w:rsid w:val="009424EC"/>
    <w:rsid w:val="00965B2F"/>
    <w:rsid w:val="009764A2"/>
    <w:rsid w:val="009869C4"/>
    <w:rsid w:val="009B30B2"/>
    <w:rsid w:val="009B4B4F"/>
    <w:rsid w:val="00A01B1A"/>
    <w:rsid w:val="00A922D0"/>
    <w:rsid w:val="00AA76E3"/>
    <w:rsid w:val="00AC3B4F"/>
    <w:rsid w:val="00B459CF"/>
    <w:rsid w:val="00B53016"/>
    <w:rsid w:val="00B80751"/>
    <w:rsid w:val="00B81EA6"/>
    <w:rsid w:val="00B8596A"/>
    <w:rsid w:val="00B92DFE"/>
    <w:rsid w:val="00BC6DA2"/>
    <w:rsid w:val="00BD3F26"/>
    <w:rsid w:val="00C00133"/>
    <w:rsid w:val="00C26B41"/>
    <w:rsid w:val="00C46792"/>
    <w:rsid w:val="00C47EC2"/>
    <w:rsid w:val="00C512E5"/>
    <w:rsid w:val="00C66BDF"/>
    <w:rsid w:val="00CA68E1"/>
    <w:rsid w:val="00CB47B9"/>
    <w:rsid w:val="00CD480B"/>
    <w:rsid w:val="00CF0FAB"/>
    <w:rsid w:val="00D44B17"/>
    <w:rsid w:val="00D578BE"/>
    <w:rsid w:val="00DC291F"/>
    <w:rsid w:val="00E11098"/>
    <w:rsid w:val="00E41BD1"/>
    <w:rsid w:val="00E7351F"/>
    <w:rsid w:val="00EB0331"/>
    <w:rsid w:val="00EB3392"/>
    <w:rsid w:val="00F261F9"/>
    <w:rsid w:val="00F315D5"/>
    <w:rsid w:val="00F7735C"/>
    <w:rsid w:val="00F8321F"/>
    <w:rsid w:val="00F84A16"/>
    <w:rsid w:val="00FD7F13"/>
    <w:rsid w:val="00FE3B56"/>
    <w:rsid w:val="00FE47FE"/>
    <w:rsid w:val="00FE5C24"/>
    <w:rsid w:val="00FF1ED3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DB66"/>
  <w15:chartTrackingRefBased/>
  <w15:docId w15:val="{8594408E-28F4-4078-AF65-8C4CFEC9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="CMU Serif"/>
        <w:i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DA2"/>
    <w:rPr>
      <w:rFonts w:asciiTheme="minorHAnsi" w:hAnsiTheme="minorHAnsi"/>
      <w:i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aliases w:val="JP Table 1"/>
    <w:basedOn w:val="TableNormal"/>
    <w:uiPriority w:val="40"/>
    <w:rsid w:val="00CB47B9"/>
    <w:pPr>
      <w:spacing w:after="0" w:line="240" w:lineRule="auto"/>
    </w:pPr>
    <w:rPr>
      <w:rFonts w:asciiTheme="minorHAnsi" w:hAnsiTheme="minorHAnsi" w:cstheme="minorBidi"/>
      <w:i w:val="0"/>
      <w:sz w:val="22"/>
      <w:lang w:val="en-SG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mportant1">
    <w:name w:val="Important 1"/>
    <w:basedOn w:val="Normal"/>
    <w:link w:val="Important1Char"/>
    <w:autoRedefine/>
    <w:uiPriority w:val="2"/>
    <w:qFormat/>
    <w:rsid w:val="006C2D96"/>
    <w:rPr>
      <w:rFonts w:ascii="Tahoma" w:hAnsi="Tahoma"/>
      <w:lang w:val="en-SG"/>
    </w:rPr>
  </w:style>
  <w:style w:type="character" w:customStyle="1" w:styleId="Important1Char">
    <w:name w:val="Important 1 Char"/>
    <w:basedOn w:val="DefaultParagraphFont"/>
    <w:link w:val="Important1"/>
    <w:uiPriority w:val="2"/>
    <w:rsid w:val="006C2D96"/>
    <w:rPr>
      <w:rFonts w:ascii="Tahoma" w:hAnsi="Tahoma"/>
      <w:sz w:val="20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6C2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aliases w:val="JP Grey"/>
    <w:basedOn w:val="TableNormal"/>
    <w:uiPriority w:val="39"/>
    <w:rsid w:val="00C001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85" w:type="dxa"/>
        <w:right w:w="8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6C2D96"/>
    <w:pPr>
      <w:ind w:left="720"/>
      <w:contextualSpacing/>
    </w:pPr>
  </w:style>
  <w:style w:type="table" w:customStyle="1" w:styleId="JP-Wide">
    <w:name w:val="JP-Wide"/>
    <w:basedOn w:val="TableGridLight"/>
    <w:uiPriority w:val="99"/>
    <w:rsid w:val="00CB47B9"/>
    <w:rPr>
      <w:i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Pang</dc:creator>
  <cp:keywords/>
  <dc:description/>
  <cp:lastModifiedBy>Joel Pang</cp:lastModifiedBy>
  <cp:revision>2</cp:revision>
  <dcterms:created xsi:type="dcterms:W3CDTF">2018-11-22T16:52:00Z</dcterms:created>
  <dcterms:modified xsi:type="dcterms:W3CDTF">2018-11-22T16:52:00Z</dcterms:modified>
</cp:coreProperties>
</file>