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641DEA64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Pr="0049667B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27DA029B" w:rsidR="00F10C31" w:rsidRPr="003B20DC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014B61CA" w14:textId="63AAC1D6" w:rsidR="00C265E7" w:rsidRPr="003B20DC" w:rsidRDefault="00941F8D" w:rsidP="00C265E7">
      <w:pPr>
        <w:pStyle w:val="Heading1"/>
        <w:rPr>
          <w:rStyle w:val="TitleChar"/>
          <w:color w:val="E20074"/>
          <w:lang w:val="pt-BR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C265E7" w:rsidRPr="003B20DC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67A8451C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DB74FE">
      <w:rPr>
        <w:rFonts w:ascii="Arial" w:hAnsi="Arial"/>
        <w:noProof/>
        <w:color w:val="224D64"/>
        <w:lang w:val="pt-BR"/>
      </w:rPr>
      <w:t>19/06/2024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1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B74FE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1489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>dr design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23</cp:revision>
  <cp:lastPrinted>2019-03-14T15:14:00Z</cp:lastPrinted>
  <dcterms:created xsi:type="dcterms:W3CDTF">2019-05-16T13:33:00Z</dcterms:created>
  <dcterms:modified xsi:type="dcterms:W3CDTF">2024-06-19T19:59:00Z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