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Patching en direct d’un flux WS2812 avec AstraPIO</w:t>
      </w:r>
    </w:p>
    <w:p>
      <w:r>
        <w:t>AN APIO 001 · Révision 1.0 · 23 septembre 2026 · AstraPIO ABI 5</w:t>
      </w:r>
    </w:p>
    <w:p>
      <w:r>
        <w:t>Cette note explique comment insérer AstraPIO dans un flux WS2812 pour lire le premier mot de 24 bits, le remplacer par une valeur préparée par un microcontrôleur et transmettre les mots suivants sans modifier leurs données. Le LPC546xx sert ici d’exemple d’hôte SPI ; le mécanisme ne dépend pas de ce CPU.</w:t>
      </w:r>
    </w:p>
    <w:p>
      <w:pPr>
        <w:pStyle w:val="Heading1"/>
      </w:pPr>
      <w:r>
        <w:t>1 Fonction réalisée</w:t>
      </w:r>
    </w:p>
    <w:p>
      <w:r>
        <w:t>Après une période basse qualifiée, le moteur temporel capture les 24 premiers bits de DIN dans sa banque RX. Pendant cette réception, DOUT émet le mot de remplacement actif. Les bits suivants sont décodés puis régénérés avec leur valeur d’origine. L’hôte lit la capture par SPI et prépare, si nécessaire, le mot d’une prochaine trame.</w:t>
      </w:r>
    </w:p>
    <w:p>
      <w:pPr>
        <w:spacing w:after="40" w:line="240" w:lineRule="auto"/>
      </w:pPr>
      <w:r>
        <w:rPr>
          <w:rFonts w:ascii="DejaVu Sans Mono" w:hAnsi="DejaVu Sans Mono"/>
          <w:sz w:val="17"/>
        </w:rPr>
        <w:t>DIN      [ mot A de 24 bits ][ mot B ][ mot C ][ ... ]</w:t>
      </w:r>
    </w:p>
    <w:p>
      <w:pPr>
        <w:spacing w:after="40" w:line="240" w:lineRule="auto"/>
      </w:pPr>
      <w:r>
        <w:rPr>
          <w:rFonts w:ascii="DejaVu Sans Mono" w:hAnsi="DejaVu Sans Mono"/>
          <w:sz w:val="17"/>
        </w:rPr>
        <w:t>DOUT     [ remplacement R  ][ mot B ][ mot C ][ ... ]</w:t>
      </w:r>
    </w:p>
    <w:p>
      <w:pPr>
        <w:spacing w:after="40" w:line="240" w:lineRule="auto"/>
      </w:pPr>
      <w:r>
        <w:rPr>
          <w:rFonts w:ascii="DejaVu Sans Mono" w:hAnsi="DejaVu Sans Mono"/>
          <w:sz w:val="17"/>
        </w:rPr>
        <w:t>SPI RX   A disponible après la capture des 24 bits</w:t>
      </w:r>
    </w:p>
    <w:p>
      <w:r>
        <w:t>La longueur de la trame est conservée. AstraPIO ne consomme pas un mot comme une LED physique le ferait dans une chaîne : la première LED située après AstraPIO reçoit R, la suivante B, puis C. Le remplacement porte sur le préfixe, pas sur un pixel arbitraire au milieu de la trame.</w:t>
      </w:r>
    </w:p>
    <w:p>
      <w:r>
        <w:t xml:space="preserve">Le moteur temporel assure tout le traitement des fronts. </w:t>
      </w:r>
      <w:r>
        <w:rPr>
          <w:b/>
        </w:rPr>
        <w:t>Aucun programme PIO n’est nécessaire pour ce chemin</w:t>
      </w:r>
      <w:r>
        <w:t xml:space="preserve"> : les 16 instructions restent disponibles pour une autre fonction utilisant des sorties distinctes. L’hôte calcule les valeurs, traite les captures et gère les erreurs ; il ne pilote pas chaque bit.</w:t>
      </w:r>
    </w:p>
    <w:p>
      <w:r>
        <w:t>Le relais nécessite les fronts DIN. Charger un mot TX ne génère pas une trame en l’absence d’entrée. Une valeur de remplacement préparée à l’avance ne peut pas être calculée à partir du mot entrant complet pour cette même trame, puisque sa transmission commence avant la fin de la capture.</w:t>
      </w:r>
    </w:p>
    <w:p>
      <w:r>
        <w:br w:type="page"/>
      </w:r>
    </w:p>
    <w:p>
      <w:pPr>
        <w:pStyle w:val="Heading1"/>
      </w:pPr>
      <w:r>
        <w:t>2 Raccordement logique</w:t>
      </w:r>
    </w:p>
    <w:p>
      <w:r>
        <w:drawing>
          <wp:inline xmlns:a="http://schemas.openxmlformats.org/drawingml/2006/main" xmlns:pic="http://schemas.openxmlformats.org/drawingml/2006/picture">
            <wp:extent cx="6492240" cy="2742016"/>
            <wp:docPr id="1" name="Picture 1"/>
            <wp:cNvGraphicFramePr>
              <a:graphicFrameLocks noChangeAspect="1"/>
            </wp:cNvGraphicFramePr>
            <a:graphic>
              <a:graphicData uri="http://schemas.openxmlformats.org/drawingml/2006/picture">
                <pic:pic>
                  <pic:nvPicPr>
                    <pic:cNvPr id="0" name="an-ws2812-connection.png"/>
                    <pic:cNvPicPr/>
                  </pic:nvPicPr>
                  <pic:blipFill>
                    <a:blip r:embed="rId11"/>
                    <a:stretch>
                      <a:fillRect/>
                    </a:stretch>
                  </pic:blipFill>
                  <pic:spPr>
                    <a:xfrm>
                      <a:off x="0" y="0"/>
                      <a:ext cx="6492240" cy="2742016"/>
                    </a:xfrm>
                    <a:prstGeom prst="rect"/>
                  </pic:spPr>
                </pic:pic>
              </a:graphicData>
            </a:graphic>
          </wp:inline>
        </w:drawing>
      </w:r>
    </w:p>
    <w:p>
      <w:r>
        <w:t>Ce schéma décrit les signaux, pas un circuit électrique prêt à fabriquer. La source DIN peut être un générateur WS2812 ou la sortie d’une LED en amont. L’entrée de la première LED à modifier se raccorde à DOUT via l’adaptation électrique appropriée.</w:t>
      </w:r>
    </w:p>
    <w:tbl>
      <w:tblPr>
        <w:tblW w:type="auto" w:w="0"/>
        <w:jc w:val="center"/>
        <w:tblLayout w:type="fixed"/>
        <w:tblLook w:firstColumn="1" w:firstRow="1" w:lastColumn="0" w:lastRow="0" w:noHBand="0" w:noVBand="1" w:val="04A0"/>
      </w:tblPr>
      <w:tblGrid>
        <w:gridCol w:w="2880"/>
        <w:gridCol w:w="2016"/>
        <w:gridCol w:w="5328"/>
      </w:tblGrid>
      <w:tr>
        <w:trPr>
          <w:cantSplit/>
          <w:tblHeader/>
        </w:trPr>
        <w:tc>
          <w:tcPr>
            <w:tcW w:type="dxa" w:w="2880"/>
            <w:vAlign w:val="center"/>
            <w:tcBorders>
              <w:top w:val="single" w:sz="4" w:color="D9D9D9"/>
              <w:left w:val="single" w:sz="4" w:color="D9D9D9"/>
              <w:bottom w:val="single" w:sz="4" w:color="D9D9D9"/>
              <w:right w:val="single" w:sz="4" w:color="D9D9D9"/>
            </w:tcBorders>
            <w:shd w:fill="17324D"/>
            <w:tcMar>
              <w:top w:w="90" w:type="dxa"/>
              <w:bottom w:w="90" w:type="dxa"/>
              <w:left w:w="90" w:type="dxa"/>
              <w:right w:w="90" w:type="dxa"/>
            </w:tcMar>
          </w:tcPr>
          <w:p>
            <w:pPr>
              <w:spacing w:after="80" w:before="80" w:line="245" w:lineRule="auto"/>
            </w:pPr>
            <w:r>
              <w:rPr>
                <w:b/>
                <w:color w:val="FFFFFF"/>
                <w:sz w:val="19"/>
              </w:rPr>
              <w:t>Signal</w:t>
            </w:r>
          </w:p>
        </w:tc>
        <w:tc>
          <w:tcPr>
            <w:tcW w:type="dxa" w:w="2016"/>
            <w:vAlign w:val="center"/>
            <w:tcBorders>
              <w:top w:val="single" w:sz="4" w:color="D9D9D9"/>
              <w:left w:val="single" w:sz="4" w:color="D9D9D9"/>
              <w:bottom w:val="single" w:sz="4" w:color="D9D9D9"/>
              <w:right w:val="single" w:sz="4" w:color="D9D9D9"/>
            </w:tcBorders>
            <w:shd w:fill="17324D"/>
            <w:tcMar>
              <w:top w:w="90" w:type="dxa"/>
              <w:bottom w:w="90" w:type="dxa"/>
              <w:left w:w="90" w:type="dxa"/>
              <w:right w:w="90" w:type="dxa"/>
            </w:tcMar>
          </w:tcPr>
          <w:p>
            <w:pPr>
              <w:spacing w:after="80" w:before="80" w:line="245" w:lineRule="auto"/>
            </w:pPr>
            <w:r>
              <w:rPr>
                <w:b/>
                <w:color w:val="FFFFFF"/>
                <w:sz w:val="19"/>
              </w:rPr>
              <w:t>Port AstraPIO</w:t>
            </w:r>
          </w:p>
        </w:tc>
        <w:tc>
          <w:tcPr>
            <w:tcW w:type="dxa" w:w="5328"/>
            <w:vAlign w:val="center"/>
            <w:tcBorders>
              <w:top w:val="single" w:sz="4" w:color="D9D9D9"/>
              <w:left w:val="single" w:sz="4" w:color="D9D9D9"/>
              <w:bottom w:val="single" w:sz="4" w:color="D9D9D9"/>
              <w:right w:val="single" w:sz="4" w:color="D9D9D9"/>
            </w:tcBorders>
            <w:shd w:fill="17324D"/>
            <w:tcMar>
              <w:top w:w="90" w:type="dxa"/>
              <w:bottom w:w="90" w:type="dxa"/>
              <w:left w:w="90" w:type="dxa"/>
              <w:right w:w="90" w:type="dxa"/>
            </w:tcMar>
          </w:tcPr>
          <w:p>
            <w:pPr>
              <w:spacing w:after="80" w:before="80" w:line="245" w:lineRule="auto"/>
            </w:pPr>
            <w:r>
              <w:rPr>
                <w:b/>
                <w:color w:val="FFFFFF"/>
                <w:sz w:val="19"/>
              </w:rPr>
              <w:t>Règle</w:t>
            </w:r>
          </w:p>
        </w:tc>
      </w:tr>
      <w:tr>
        <w:trPr>
          <w:cantSplit/>
        </w:trPr>
        <w:tc>
          <w:tcPr>
            <w:tcW w:type="dxa" w:w="2880"/>
            <w:vAlign w:val="center"/>
            <w:tcBorders>
              <w:top w:val="single" w:sz="4" w:color="D9D9D9"/>
              <w:left w:val="single" w:sz="4" w:color="D9D9D9"/>
              <w:bottom w:val="single" w:sz="4" w:color="D9D9D9"/>
              <w:right w:val="single" w:sz="4" w:color="D9D9D9"/>
            </w:tcBorders>
            <w:shd w:fill="F1F4F6"/>
            <w:tcMar>
              <w:top w:w="90" w:type="dxa"/>
              <w:bottom w:w="90" w:type="dxa"/>
              <w:left w:w="90" w:type="dxa"/>
              <w:right w:w="90" w:type="dxa"/>
            </w:tcMar>
          </w:tcPr>
          <w:p>
            <w:pPr>
              <w:spacing w:after="80" w:before="80" w:line="245" w:lineRule="auto"/>
            </w:pPr>
            <w:r>
              <w:rPr>
                <w:sz w:val="19"/>
              </w:rPr>
              <w:t>DIN applicatif</w:t>
            </w:r>
          </w:p>
        </w:tc>
        <w:tc>
          <w:tcPr>
            <w:tcW w:type="dxa" w:w="2016"/>
            <w:vAlign w:val="center"/>
            <w:tcBorders>
              <w:top w:val="single" w:sz="4" w:color="D9D9D9"/>
              <w:left w:val="single" w:sz="4" w:color="D9D9D9"/>
              <w:bottom w:val="single" w:sz="4" w:color="D9D9D9"/>
              <w:right w:val="single" w:sz="4" w:color="D9D9D9"/>
            </w:tcBorders>
            <w:shd w:fill="F1F4F6"/>
            <w:tcMar>
              <w:top w:w="90" w:type="dxa"/>
              <w:bottom w:w="90" w:type="dxa"/>
              <w:left w:w="90" w:type="dxa"/>
              <w:right w:w="90" w:type="dxa"/>
            </w:tcMar>
          </w:tcPr>
          <w:p>
            <w:pPr>
              <w:spacing w:after="80" w:before="80" w:line="245" w:lineRule="auto"/>
            </w:pPr>
            <w:r>
              <w:rPr>
                <w:sz w:val="19"/>
              </w:rPr>
            </w:r>
            <w:r>
              <w:rPr>
                <w:rFonts w:ascii="DejaVu Sans Mono" w:hAnsi="DejaVu Sans Mono"/>
                <w:sz w:val="19"/>
              </w:rPr>
              <w:t>uio[0]</w:t>
            </w:r>
            <w:r>
              <w:rPr>
                <w:sz w:val="19"/>
              </w:rPr>
              <w:t>, index I0</w:t>
            </w:r>
          </w:p>
        </w:tc>
        <w:tc>
          <w:tcPr>
            <w:tcW w:type="dxa" w:w="5328"/>
            <w:vAlign w:val="center"/>
            <w:tcBorders>
              <w:top w:val="single" w:sz="4" w:color="D9D9D9"/>
              <w:left w:val="single" w:sz="4" w:color="D9D9D9"/>
              <w:bottom w:val="single" w:sz="4" w:color="D9D9D9"/>
              <w:right w:val="single" w:sz="4" w:color="D9D9D9"/>
            </w:tcBorders>
            <w:shd w:fill="F1F4F6"/>
            <w:tcMar>
              <w:top w:w="90" w:type="dxa"/>
              <w:bottom w:w="90" w:type="dxa"/>
              <w:left w:w="90" w:type="dxa"/>
              <w:right w:w="90" w:type="dxa"/>
            </w:tcMar>
          </w:tcPr>
          <w:p>
            <w:pPr>
              <w:spacing w:after="80" w:before="80" w:line="245" w:lineRule="auto"/>
            </w:pPr>
            <w:r>
              <w:rPr>
                <w:sz w:val="19"/>
              </w:rPr>
              <w:t>Garder son driver désactivé</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80" w:before="80" w:line="245" w:lineRule="auto"/>
            </w:pPr>
            <w:r>
              <w:rPr>
                <w:sz w:val="19"/>
              </w:rPr>
              <w:t>DOUT applicatif</w:t>
            </w:r>
          </w:p>
        </w:tc>
        <w:tc>
          <w:tcPr>
            <w:tcW w:type="dxa" w:w="201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80" w:before="80" w:line="245" w:lineRule="auto"/>
            </w:pPr>
            <w:r>
              <w:rPr>
                <w:sz w:val="19"/>
              </w:rPr>
            </w:r>
            <w:r>
              <w:rPr>
                <w:rFonts w:ascii="DejaVu Sans Mono" w:hAnsi="DejaVu Sans Mono"/>
                <w:sz w:val="19"/>
              </w:rPr>
              <w:t>uo_out[2]</w:t>
            </w:r>
            <w:r>
              <w:rPr>
                <w:sz w:val="19"/>
              </w:rPr>
              <w:t>, index O8</w:t>
            </w:r>
          </w:p>
        </w:tc>
        <w:tc>
          <w:tcPr>
            <w:tcW w:type="dxa" w:w="5328"/>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80" w:before="80" w:line="245" w:lineRule="auto"/>
            </w:pPr>
            <w:r>
              <w:rPr>
                <w:sz w:val="19"/>
              </w:rPr>
              <w:t>Exclure O8 du masque PIO</w:t>
            </w:r>
          </w:p>
        </w:tc>
      </w:tr>
      <w:tr>
        <w:trPr>
          <w:cantSplit/>
        </w:trPr>
        <w:tc>
          <w:tcPr>
            <w:tcW w:type="dxa" w:w="2880"/>
            <w:vAlign w:val="center"/>
            <w:tcBorders>
              <w:top w:val="single" w:sz="4" w:color="D9D9D9"/>
              <w:left w:val="single" w:sz="4" w:color="D9D9D9"/>
              <w:bottom w:val="single" w:sz="4" w:color="D9D9D9"/>
              <w:right w:val="single" w:sz="4" w:color="D9D9D9"/>
            </w:tcBorders>
            <w:shd w:fill="F1F4F6"/>
            <w:tcMar>
              <w:top w:w="90" w:type="dxa"/>
              <w:bottom w:w="90" w:type="dxa"/>
              <w:left w:w="90" w:type="dxa"/>
              <w:right w:w="90" w:type="dxa"/>
            </w:tcMar>
          </w:tcPr>
          <w:p>
            <w:pPr>
              <w:spacing w:after="80" w:before="80" w:line="245" w:lineRule="auto"/>
            </w:pPr>
            <w:r>
              <w:rPr>
                <w:sz w:val="19"/>
              </w:rPr>
              <w:t>SCK / MOSI / CS</w:t>
            </w:r>
          </w:p>
        </w:tc>
        <w:tc>
          <w:tcPr>
            <w:tcW w:type="dxa" w:w="2016"/>
            <w:vAlign w:val="center"/>
            <w:tcBorders>
              <w:top w:val="single" w:sz="4" w:color="D9D9D9"/>
              <w:left w:val="single" w:sz="4" w:color="D9D9D9"/>
              <w:bottom w:val="single" w:sz="4" w:color="D9D9D9"/>
              <w:right w:val="single" w:sz="4" w:color="D9D9D9"/>
            </w:tcBorders>
            <w:shd w:fill="F1F4F6"/>
            <w:tcMar>
              <w:top w:w="90" w:type="dxa"/>
              <w:bottom w:w="90" w:type="dxa"/>
              <w:left w:w="90" w:type="dxa"/>
              <w:right w:w="90" w:type="dxa"/>
            </w:tcMar>
          </w:tcPr>
          <w:p>
            <w:pPr>
              <w:spacing w:after="80" w:before="80" w:line="245" w:lineRule="auto"/>
            </w:pPr>
            <w:r>
              <w:rPr>
                <w:sz w:val="19"/>
              </w:rPr>
            </w:r>
            <w:r>
              <w:rPr>
                <w:rFonts w:ascii="DejaVu Sans Mono" w:hAnsi="DejaVu Sans Mono"/>
                <w:sz w:val="19"/>
              </w:rPr>
              <w:t>ui_in[0:2]</w:t>
            </w:r>
            <w:r>
              <w:rPr>
                <w:sz w:val="19"/>
              </w:rPr>
            </w:r>
          </w:p>
        </w:tc>
        <w:tc>
          <w:tcPr>
            <w:tcW w:type="dxa" w:w="5328"/>
            <w:vAlign w:val="center"/>
            <w:tcBorders>
              <w:top w:val="single" w:sz="4" w:color="D9D9D9"/>
              <w:left w:val="single" w:sz="4" w:color="D9D9D9"/>
              <w:bottom w:val="single" w:sz="4" w:color="D9D9D9"/>
              <w:right w:val="single" w:sz="4" w:color="D9D9D9"/>
            </w:tcBorders>
            <w:shd w:fill="F1F4F6"/>
            <w:tcMar>
              <w:top w:w="90" w:type="dxa"/>
              <w:bottom w:w="90" w:type="dxa"/>
              <w:left w:w="90" w:type="dxa"/>
              <w:right w:w="90" w:type="dxa"/>
            </w:tcMar>
          </w:tcPr>
          <w:p>
            <w:pPr>
              <w:spacing w:after="80" w:before="80" w:line="245" w:lineRule="auto"/>
            </w:pPr>
            <w:r>
              <w:rPr>
                <w:sz w:val="19"/>
              </w:rPr>
              <w:t>SPI mode 0, MSB en premier</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80" w:before="80" w:line="245" w:lineRule="auto"/>
            </w:pPr>
            <w:r>
              <w:rPr>
                <w:sz w:val="19"/>
              </w:rPr>
              <w:t>MISO / IRQ</w:t>
            </w:r>
          </w:p>
        </w:tc>
        <w:tc>
          <w:tcPr>
            <w:tcW w:type="dxa" w:w="201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80" w:before="80" w:line="245" w:lineRule="auto"/>
            </w:pPr>
            <w:r>
              <w:rPr>
                <w:sz w:val="19"/>
              </w:rPr>
            </w:r>
            <w:r>
              <w:rPr>
                <w:rFonts w:ascii="DejaVu Sans Mono" w:hAnsi="DejaVu Sans Mono"/>
                <w:sz w:val="19"/>
              </w:rPr>
              <w:t>uo_out[0:1]</w:t>
            </w:r>
            <w:r>
              <w:rPr>
                <w:sz w:val="19"/>
              </w:rPr>
            </w:r>
          </w:p>
        </w:tc>
        <w:tc>
          <w:tcPr>
            <w:tcW w:type="dxa" w:w="5328"/>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80" w:before="80" w:line="245" w:lineRule="auto"/>
            </w:pPr>
            <w:r>
              <w:rPr>
                <w:sz w:val="19"/>
              </w:rPr>
              <w:t>MISO dédié ; IRQ active à 1</w:t>
            </w:r>
          </w:p>
        </w:tc>
      </w:tr>
      <w:tr>
        <w:trPr>
          <w:cantSplit/>
        </w:trPr>
        <w:tc>
          <w:tcPr>
            <w:tcW w:type="dxa" w:w="2880"/>
            <w:vAlign w:val="center"/>
            <w:tcBorders>
              <w:top w:val="single" w:sz="4" w:color="D9D9D9"/>
              <w:left w:val="single" w:sz="4" w:color="D9D9D9"/>
              <w:bottom w:val="single" w:sz="4" w:color="D9D9D9"/>
              <w:right w:val="single" w:sz="4" w:color="D9D9D9"/>
            </w:tcBorders>
            <w:shd w:fill="F1F4F6"/>
            <w:tcMar>
              <w:top w:w="90" w:type="dxa"/>
              <w:bottom w:w="90" w:type="dxa"/>
              <w:left w:w="90" w:type="dxa"/>
              <w:right w:w="90" w:type="dxa"/>
            </w:tcMar>
          </w:tcPr>
          <w:p>
            <w:pPr>
              <w:spacing w:after="80" w:before="80" w:line="245" w:lineRule="auto"/>
            </w:pPr>
            <w:r>
              <w:rPr>
                <w:sz w:val="19"/>
              </w:rPr>
              <w:t>CLK</w:t>
            </w:r>
          </w:p>
        </w:tc>
        <w:tc>
          <w:tcPr>
            <w:tcW w:type="dxa" w:w="2016"/>
            <w:vAlign w:val="center"/>
            <w:tcBorders>
              <w:top w:val="single" w:sz="4" w:color="D9D9D9"/>
              <w:left w:val="single" w:sz="4" w:color="D9D9D9"/>
              <w:bottom w:val="single" w:sz="4" w:color="D9D9D9"/>
              <w:right w:val="single" w:sz="4" w:color="D9D9D9"/>
            </w:tcBorders>
            <w:shd w:fill="F1F4F6"/>
            <w:tcMar>
              <w:top w:w="90" w:type="dxa"/>
              <w:bottom w:w="90" w:type="dxa"/>
              <w:left w:w="90" w:type="dxa"/>
              <w:right w:w="90" w:type="dxa"/>
            </w:tcMar>
          </w:tcPr>
          <w:p>
            <w:pPr>
              <w:spacing w:after="80" w:before="80" w:line="245" w:lineRule="auto"/>
            </w:pPr>
            <w:r>
              <w:rPr>
                <w:sz w:val="19"/>
              </w:rPr>
              <w:t>Horloge du module</w:t>
            </w:r>
          </w:p>
        </w:tc>
        <w:tc>
          <w:tcPr>
            <w:tcW w:type="dxa" w:w="5328"/>
            <w:vAlign w:val="center"/>
            <w:tcBorders>
              <w:top w:val="single" w:sz="4" w:color="D9D9D9"/>
              <w:left w:val="single" w:sz="4" w:color="D9D9D9"/>
              <w:bottom w:val="single" w:sz="4" w:color="D9D9D9"/>
              <w:right w:val="single" w:sz="4" w:color="D9D9D9"/>
            </w:tcBorders>
            <w:shd w:fill="F1F4F6"/>
            <w:tcMar>
              <w:top w:w="90" w:type="dxa"/>
              <w:bottom w:w="90" w:type="dxa"/>
              <w:left w:w="90" w:type="dxa"/>
              <w:right w:w="90" w:type="dxa"/>
            </w:tcMar>
          </w:tcPr>
          <w:p>
            <w:pPr>
              <w:spacing w:after="80" w:before="80" w:line="245" w:lineRule="auto"/>
            </w:pPr>
            <w:r>
              <w:rPr>
                <w:sz w:val="19"/>
              </w:rPr>
              <w:t>50 MHz pour le profil de cette note</w:t>
            </w:r>
          </w:p>
        </w:tc>
      </w:tr>
    </w:tbl>
    <w:p>
      <w:pPr>
        <w:spacing w:after="0"/>
      </w:pPr>
    </w:p>
    <w:p>
      <w:r>
        <w:t>Vérifier le brochage de la carte IHP, les rails, les masses communes et les seuils logiques. AstraPIO n’a pas de tolérance 5 V spécifiée. Les adaptations de niveau doivent préserver les largeurs d’impulsion dans les deux directions. Les LED nécessitent leur propre alimentation dimensionnée pour leur charge.</w:t>
      </w:r>
    </w:p>
    <w:p>
      <w:r>
        <w:t>MISO reste piloté avec CS haut. Si le bus SPI est partagé, prévoir un isolement adapté au lieu de raccorder directement plusieurs MISO push-pull. La sortie applicative DOUT et le SPI hôte sont deux interfaces distinctes.</w:t>
      </w:r>
    </w:p>
    <w:p>
      <w:r>
        <w:br w:type="page"/>
      </w:r>
    </w:p>
    <w:p>
      <w:pPr>
        <w:pStyle w:val="Heading1"/>
      </w:pPr>
      <w:r>
        <w:t>3 Profil temporel à 50 MHz</w:t>
      </w:r>
    </w:p>
    <w:p>
      <w:r>
        <w:t>Le profil ci-dessous a été exercé en simulation. Il vise les temporisations WS2812B V5 ; il ne constitue pas une compatibilité universelle avec toutes les références commercialisées sous le nom WS2812.</w:t>
      </w:r>
    </w:p>
    <w:tbl>
      <w:tblPr>
        <w:tblW w:type="auto" w:w="0"/>
        <w:jc w:val="center"/>
        <w:tblLayout w:type="fixed"/>
        <w:tblLook w:firstColumn="1" w:firstRow="1" w:lastColumn="0" w:lastRow="0" w:noHBand="0" w:noVBand="1" w:val="04A0"/>
      </w:tblPr>
      <w:tblGrid>
        <w:gridCol w:w="3600"/>
        <w:gridCol w:w="1584"/>
        <w:gridCol w:w="5040"/>
      </w:tblGrid>
      <w:tr>
        <w:trPr>
          <w:cantSplit/>
          <w:tblHeader/>
        </w:trPr>
        <w:tc>
          <w:tcPr>
            <w:tcW w:type="dxa" w:w="3600"/>
            <w:vAlign w:val="center"/>
            <w:tcBorders>
              <w:top w:val="single" w:sz="4" w:color="D9D9D9"/>
              <w:left w:val="single" w:sz="4" w:color="D9D9D9"/>
              <w:bottom w:val="single" w:sz="4" w:color="D9D9D9"/>
              <w:right w:val="single" w:sz="4" w:color="D9D9D9"/>
            </w:tcBorders>
            <w:shd w:fill="17324D"/>
            <w:tcMar>
              <w:top w:w="90" w:type="dxa"/>
              <w:bottom w:w="90" w:type="dxa"/>
              <w:left w:w="90" w:type="dxa"/>
              <w:right w:w="90" w:type="dxa"/>
            </w:tcMar>
          </w:tcPr>
          <w:p>
            <w:pPr>
              <w:spacing w:after="80" w:before="80" w:line="245" w:lineRule="auto"/>
            </w:pPr>
            <w:r>
              <w:rPr>
                <w:b/>
                <w:color w:val="FFFFFF"/>
                <w:sz w:val="19"/>
              </w:rPr>
              <w:t>Registre</w:t>
            </w:r>
          </w:p>
        </w:tc>
        <w:tc>
          <w:tcPr>
            <w:tcW w:type="dxa" w:w="1584"/>
            <w:vAlign w:val="center"/>
            <w:tcBorders>
              <w:top w:val="single" w:sz="4" w:color="D9D9D9"/>
              <w:left w:val="single" w:sz="4" w:color="D9D9D9"/>
              <w:bottom w:val="single" w:sz="4" w:color="D9D9D9"/>
              <w:right w:val="single" w:sz="4" w:color="D9D9D9"/>
            </w:tcBorders>
            <w:shd w:fill="17324D"/>
            <w:tcMar>
              <w:top w:w="90" w:type="dxa"/>
              <w:bottom w:w="90" w:type="dxa"/>
              <w:left w:w="90" w:type="dxa"/>
              <w:right w:w="90" w:type="dxa"/>
            </w:tcMar>
          </w:tcPr>
          <w:p>
            <w:pPr>
              <w:spacing w:after="80" w:before="80" w:line="245" w:lineRule="auto"/>
            </w:pPr>
            <w:r>
              <w:rPr>
                <w:b/>
                <w:color w:val="FFFFFF"/>
                <w:sz w:val="19"/>
              </w:rPr>
              <w:t>Valeur</w:t>
            </w:r>
          </w:p>
        </w:tc>
        <w:tc>
          <w:tcPr>
            <w:tcW w:type="dxa" w:w="5040"/>
            <w:vAlign w:val="center"/>
            <w:tcBorders>
              <w:top w:val="single" w:sz="4" w:color="D9D9D9"/>
              <w:left w:val="single" w:sz="4" w:color="D9D9D9"/>
              <w:bottom w:val="single" w:sz="4" w:color="D9D9D9"/>
              <w:right w:val="single" w:sz="4" w:color="D9D9D9"/>
            </w:tcBorders>
            <w:shd w:fill="17324D"/>
            <w:tcMar>
              <w:top w:w="90" w:type="dxa"/>
              <w:bottom w:w="90" w:type="dxa"/>
              <w:left w:w="90" w:type="dxa"/>
              <w:right w:w="90" w:type="dxa"/>
            </w:tcMar>
          </w:tcPr>
          <w:p>
            <w:pPr>
              <w:spacing w:after="80" w:before="80" w:line="245" w:lineRule="auto"/>
            </w:pPr>
            <w:r>
              <w:rPr>
                <w:b/>
                <w:color w:val="FFFFFF"/>
                <w:sz w:val="19"/>
              </w:rPr>
              <w:t>Effet avec CLK à 50 MHz</w:t>
            </w:r>
          </w:p>
        </w:tc>
      </w:tr>
      <w:tr>
        <w:trPr>
          <w:cantSplit/>
        </w:trPr>
        <w:tc>
          <w:tcPr>
            <w:tcW w:type="dxa" w:w="3600"/>
            <w:vAlign w:val="center"/>
            <w:tcBorders>
              <w:top w:val="single" w:sz="4" w:color="D9D9D9"/>
              <w:left w:val="single" w:sz="4" w:color="D9D9D9"/>
              <w:bottom w:val="single" w:sz="4" w:color="D9D9D9"/>
              <w:right w:val="single" w:sz="4" w:color="D9D9D9"/>
            </w:tcBorders>
            <w:shd w:fill="F1F4F6"/>
            <w:tcMar>
              <w:top w:w="90" w:type="dxa"/>
              <w:bottom w:w="90" w:type="dxa"/>
              <w:left w:w="90" w:type="dxa"/>
              <w:right w:w="90" w:type="dxa"/>
            </w:tcMar>
          </w:tcPr>
          <w:p>
            <w:pPr>
              <w:spacing w:after="80" w:before="80" w:line="245" w:lineRule="auto"/>
            </w:pPr>
            <w:r>
              <w:rPr>
                <w:sz w:val="19"/>
              </w:rPr>
            </w:r>
            <w:r>
              <w:rPr>
                <w:rFonts w:ascii="DejaVu Sans Mono" w:hAnsi="DejaVu Sans Mono"/>
                <w:sz w:val="19"/>
              </w:rPr>
              <w:t>0x62 TIMED_PINS</w:t>
            </w:r>
            <w:r>
              <w:rPr>
                <w:sz w:val="19"/>
              </w:rPr>
            </w:r>
          </w:p>
        </w:tc>
        <w:tc>
          <w:tcPr>
            <w:tcW w:type="dxa" w:w="1584"/>
            <w:vAlign w:val="center"/>
            <w:tcBorders>
              <w:top w:val="single" w:sz="4" w:color="D9D9D9"/>
              <w:left w:val="single" w:sz="4" w:color="D9D9D9"/>
              <w:bottom w:val="single" w:sz="4" w:color="D9D9D9"/>
              <w:right w:val="single" w:sz="4" w:color="D9D9D9"/>
            </w:tcBorders>
            <w:shd w:fill="F1F4F6"/>
            <w:tcMar>
              <w:top w:w="90" w:type="dxa"/>
              <w:bottom w:w="90" w:type="dxa"/>
              <w:left w:w="90" w:type="dxa"/>
              <w:right w:w="90" w:type="dxa"/>
            </w:tcMar>
          </w:tcPr>
          <w:p>
            <w:pPr>
              <w:spacing w:after="80" w:before="80" w:line="245" w:lineRule="auto"/>
            </w:pPr>
            <w:r>
              <w:rPr>
                <w:sz w:val="19"/>
              </w:rPr>
            </w:r>
            <w:r>
              <w:rPr>
                <w:rFonts w:ascii="DejaVu Sans Mono" w:hAnsi="DejaVu Sans Mono"/>
                <w:sz w:val="19"/>
              </w:rPr>
              <w:t>0x0080</w:t>
            </w:r>
            <w:r>
              <w:rPr>
                <w:sz w:val="19"/>
              </w:rPr>
            </w:r>
          </w:p>
        </w:tc>
        <w:tc>
          <w:tcPr>
            <w:tcW w:type="dxa" w:w="5040"/>
            <w:vAlign w:val="center"/>
            <w:tcBorders>
              <w:top w:val="single" w:sz="4" w:color="D9D9D9"/>
              <w:left w:val="single" w:sz="4" w:color="D9D9D9"/>
              <w:bottom w:val="single" w:sz="4" w:color="D9D9D9"/>
              <w:right w:val="single" w:sz="4" w:color="D9D9D9"/>
            </w:tcBorders>
            <w:shd w:fill="F1F4F6"/>
            <w:tcMar>
              <w:top w:w="90" w:type="dxa"/>
              <w:bottom w:w="90" w:type="dxa"/>
              <w:left w:w="90" w:type="dxa"/>
              <w:right w:w="90" w:type="dxa"/>
            </w:tcMar>
          </w:tcPr>
          <w:p>
            <w:pPr>
              <w:spacing w:after="80" w:before="80" w:line="245" w:lineRule="auto"/>
            </w:pPr>
            <w:r>
              <w:rPr>
                <w:sz w:val="19"/>
              </w:rPr>
              <w:t>Entrée I0, sortie O8</w:t>
            </w:r>
          </w:p>
        </w:tc>
      </w:tr>
      <w:tr>
        <w:trPr>
          <w:cantSplit/>
        </w:trPr>
        <w:tc>
          <w:tcPr>
            <w:tcW w:type="dxa" w:w="3600"/>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80" w:before="80" w:line="245" w:lineRule="auto"/>
            </w:pPr>
            <w:r>
              <w:rPr>
                <w:sz w:val="19"/>
              </w:rPr>
            </w:r>
            <w:r>
              <w:rPr>
                <w:rFonts w:ascii="DejaVu Sans Mono" w:hAnsi="DejaVu Sans Mono"/>
                <w:sz w:val="19"/>
              </w:rPr>
              <w:t>0x63 IDLE_CYCLES</w:t>
            </w:r>
            <w:r>
              <w:rPr>
                <w:sz w:val="19"/>
              </w:rPr>
            </w:r>
          </w:p>
        </w:tc>
        <w:tc>
          <w:tcPr>
            <w:tcW w:type="dxa" w:w="1584"/>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80" w:before="80" w:line="245" w:lineRule="auto"/>
            </w:pPr>
            <w:r>
              <w:rPr>
                <w:sz w:val="19"/>
              </w:rPr>
            </w:r>
            <w:r>
              <w:rPr>
                <w:rFonts w:ascii="DejaVu Sans Mono" w:hAnsi="DejaVu Sans Mono"/>
                <w:sz w:val="19"/>
              </w:rPr>
              <w:t>0x3A98</w:t>
            </w:r>
            <w:r>
              <w:rPr>
                <w:sz w:val="19"/>
              </w:rPr>
            </w:r>
          </w:p>
        </w:tc>
        <w:tc>
          <w:tcPr>
            <w:tcW w:type="dxa" w:w="5040"/>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80" w:before="80" w:line="245" w:lineRule="auto"/>
            </w:pPr>
            <w:r>
              <w:rPr>
                <w:sz w:val="19"/>
              </w:rPr>
              <w:t>15 000 cycles bas, soit 300 µs</w:t>
            </w:r>
          </w:p>
        </w:tc>
      </w:tr>
      <w:tr>
        <w:trPr>
          <w:cantSplit/>
        </w:trPr>
        <w:tc>
          <w:tcPr>
            <w:tcW w:type="dxa" w:w="3600"/>
            <w:vAlign w:val="center"/>
            <w:tcBorders>
              <w:top w:val="single" w:sz="4" w:color="D9D9D9"/>
              <w:left w:val="single" w:sz="4" w:color="D9D9D9"/>
              <w:bottom w:val="single" w:sz="4" w:color="D9D9D9"/>
              <w:right w:val="single" w:sz="4" w:color="D9D9D9"/>
            </w:tcBorders>
            <w:shd w:fill="F1F4F6"/>
            <w:tcMar>
              <w:top w:w="90" w:type="dxa"/>
              <w:bottom w:w="90" w:type="dxa"/>
              <w:left w:w="90" w:type="dxa"/>
              <w:right w:w="90" w:type="dxa"/>
            </w:tcMar>
          </w:tcPr>
          <w:p>
            <w:pPr>
              <w:spacing w:after="80" w:before="80" w:line="245" w:lineRule="auto"/>
            </w:pPr>
            <w:r>
              <w:rPr>
                <w:sz w:val="19"/>
              </w:rPr>
            </w:r>
            <w:r>
              <w:rPr>
                <w:rFonts w:ascii="DejaVu Sans Mono" w:hAnsi="DejaVu Sans Mono"/>
                <w:sz w:val="19"/>
              </w:rPr>
              <w:t>0x64 SAMPLE_LAUNCH</w:t>
            </w:r>
            <w:r>
              <w:rPr>
                <w:sz w:val="19"/>
              </w:rPr>
            </w:r>
          </w:p>
        </w:tc>
        <w:tc>
          <w:tcPr>
            <w:tcW w:type="dxa" w:w="1584"/>
            <w:vAlign w:val="center"/>
            <w:tcBorders>
              <w:top w:val="single" w:sz="4" w:color="D9D9D9"/>
              <w:left w:val="single" w:sz="4" w:color="D9D9D9"/>
              <w:bottom w:val="single" w:sz="4" w:color="D9D9D9"/>
              <w:right w:val="single" w:sz="4" w:color="D9D9D9"/>
            </w:tcBorders>
            <w:shd w:fill="F1F4F6"/>
            <w:tcMar>
              <w:top w:w="90" w:type="dxa"/>
              <w:bottom w:w="90" w:type="dxa"/>
              <w:left w:w="90" w:type="dxa"/>
              <w:right w:w="90" w:type="dxa"/>
            </w:tcMar>
          </w:tcPr>
          <w:p>
            <w:pPr>
              <w:spacing w:after="80" w:before="80" w:line="245" w:lineRule="auto"/>
            </w:pPr>
            <w:r>
              <w:rPr>
                <w:sz w:val="19"/>
              </w:rPr>
            </w:r>
            <w:r>
              <w:rPr>
                <w:rFonts w:ascii="DejaVu Sans Mono" w:hAnsi="DejaVu Sans Mono"/>
                <w:sz w:val="19"/>
              </w:rPr>
              <w:t>0x2019</w:t>
            </w:r>
            <w:r>
              <w:rPr>
                <w:sz w:val="19"/>
              </w:rPr>
            </w:r>
          </w:p>
        </w:tc>
        <w:tc>
          <w:tcPr>
            <w:tcW w:type="dxa" w:w="5040"/>
            <w:vAlign w:val="center"/>
            <w:tcBorders>
              <w:top w:val="single" w:sz="4" w:color="D9D9D9"/>
              <w:left w:val="single" w:sz="4" w:color="D9D9D9"/>
              <w:bottom w:val="single" w:sz="4" w:color="D9D9D9"/>
              <w:right w:val="single" w:sz="4" w:color="D9D9D9"/>
            </w:tcBorders>
            <w:shd w:fill="F1F4F6"/>
            <w:tcMar>
              <w:top w:w="90" w:type="dxa"/>
              <w:bottom w:w="90" w:type="dxa"/>
              <w:left w:w="90" w:type="dxa"/>
              <w:right w:w="90" w:type="dxa"/>
            </w:tcMar>
          </w:tcPr>
          <w:p>
            <w:pPr>
              <w:spacing w:after="80" w:before="80" w:line="245" w:lineRule="auto"/>
            </w:pPr>
            <w:r>
              <w:rPr>
                <w:sz w:val="19"/>
              </w:rPr>
              <w:t>Échantillonnage à 25 cycles ; lancement à 32 cycles</w:t>
            </w:r>
          </w:p>
        </w:tc>
      </w:tr>
      <w:tr>
        <w:trPr>
          <w:cantSplit/>
        </w:trPr>
        <w:tc>
          <w:tcPr>
            <w:tcW w:type="dxa" w:w="3600"/>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80" w:before="80" w:line="245" w:lineRule="auto"/>
            </w:pPr>
            <w:r>
              <w:rPr>
                <w:sz w:val="19"/>
              </w:rPr>
            </w:r>
            <w:r>
              <w:rPr>
                <w:rFonts w:ascii="DejaVu Sans Mono" w:hAnsi="DejaVu Sans Mono"/>
                <w:sz w:val="19"/>
              </w:rPr>
              <w:t>0x65 HIGH_WIDTHS</w:t>
            </w:r>
            <w:r>
              <w:rPr>
                <w:sz w:val="19"/>
              </w:rPr>
            </w:r>
          </w:p>
        </w:tc>
        <w:tc>
          <w:tcPr>
            <w:tcW w:type="dxa" w:w="1584"/>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80" w:before="80" w:line="245" w:lineRule="auto"/>
            </w:pPr>
            <w:r>
              <w:rPr>
                <w:sz w:val="19"/>
              </w:rPr>
            </w:r>
            <w:r>
              <w:rPr>
                <w:rFonts w:ascii="DejaVu Sans Mono" w:hAnsi="DejaVu Sans Mono"/>
                <w:sz w:val="19"/>
              </w:rPr>
              <w:t>0x2010</w:t>
            </w:r>
            <w:r>
              <w:rPr>
                <w:sz w:val="19"/>
              </w:rPr>
            </w:r>
          </w:p>
        </w:tc>
        <w:tc>
          <w:tcPr>
            <w:tcW w:type="dxa" w:w="5040"/>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80" w:before="80" w:line="245" w:lineRule="auto"/>
            </w:pPr>
            <w:r>
              <w:rPr>
                <w:sz w:val="19"/>
              </w:rPr>
              <w:t>Sortie haute pendant 16 cycles pour 0, 32 pour 1</w:t>
            </w:r>
          </w:p>
        </w:tc>
      </w:tr>
      <w:tr>
        <w:trPr>
          <w:cantSplit/>
        </w:trPr>
        <w:tc>
          <w:tcPr>
            <w:tcW w:type="dxa" w:w="3600"/>
            <w:vAlign w:val="center"/>
            <w:tcBorders>
              <w:top w:val="single" w:sz="4" w:color="D9D9D9"/>
              <w:left w:val="single" w:sz="4" w:color="D9D9D9"/>
              <w:bottom w:val="single" w:sz="4" w:color="D9D9D9"/>
              <w:right w:val="single" w:sz="4" w:color="D9D9D9"/>
            </w:tcBorders>
            <w:shd w:fill="F1F4F6"/>
            <w:tcMar>
              <w:top w:w="90" w:type="dxa"/>
              <w:bottom w:w="90" w:type="dxa"/>
              <w:left w:w="90" w:type="dxa"/>
              <w:right w:w="90" w:type="dxa"/>
            </w:tcMar>
          </w:tcPr>
          <w:p>
            <w:pPr>
              <w:spacing w:after="80" w:before="80" w:line="245" w:lineRule="auto"/>
            </w:pPr>
            <w:r>
              <w:rPr>
                <w:sz w:val="19"/>
              </w:rPr>
            </w:r>
            <w:r>
              <w:rPr>
                <w:rFonts w:ascii="DejaVu Sans Mono" w:hAnsi="DejaVu Sans Mono"/>
                <w:sz w:val="19"/>
              </w:rPr>
              <w:t>0x66 PREFIX_BITS</w:t>
            </w:r>
            <w:r>
              <w:rPr>
                <w:sz w:val="19"/>
              </w:rPr>
            </w:r>
          </w:p>
        </w:tc>
        <w:tc>
          <w:tcPr>
            <w:tcW w:type="dxa" w:w="1584"/>
            <w:vAlign w:val="center"/>
            <w:tcBorders>
              <w:top w:val="single" w:sz="4" w:color="D9D9D9"/>
              <w:left w:val="single" w:sz="4" w:color="D9D9D9"/>
              <w:bottom w:val="single" w:sz="4" w:color="D9D9D9"/>
              <w:right w:val="single" w:sz="4" w:color="D9D9D9"/>
            </w:tcBorders>
            <w:shd w:fill="F1F4F6"/>
            <w:tcMar>
              <w:top w:w="90" w:type="dxa"/>
              <w:bottom w:w="90" w:type="dxa"/>
              <w:left w:w="90" w:type="dxa"/>
              <w:right w:w="90" w:type="dxa"/>
            </w:tcMar>
          </w:tcPr>
          <w:p>
            <w:pPr>
              <w:spacing w:after="80" w:before="80" w:line="245" w:lineRule="auto"/>
            </w:pPr>
            <w:r>
              <w:rPr>
                <w:sz w:val="19"/>
              </w:rPr>
            </w:r>
            <w:r>
              <w:rPr>
                <w:rFonts w:ascii="DejaVu Sans Mono" w:hAnsi="DejaVu Sans Mono"/>
                <w:sz w:val="19"/>
              </w:rPr>
              <w:t>0x0018</w:t>
            </w:r>
            <w:r>
              <w:rPr>
                <w:sz w:val="19"/>
              </w:rPr>
            </w:r>
          </w:p>
        </w:tc>
        <w:tc>
          <w:tcPr>
            <w:tcW w:type="dxa" w:w="5040"/>
            <w:vAlign w:val="center"/>
            <w:tcBorders>
              <w:top w:val="single" w:sz="4" w:color="D9D9D9"/>
              <w:left w:val="single" w:sz="4" w:color="D9D9D9"/>
              <w:bottom w:val="single" w:sz="4" w:color="D9D9D9"/>
              <w:right w:val="single" w:sz="4" w:color="D9D9D9"/>
            </w:tcBorders>
            <w:shd w:fill="F1F4F6"/>
            <w:tcMar>
              <w:top w:w="90" w:type="dxa"/>
              <w:bottom w:w="90" w:type="dxa"/>
              <w:left w:w="90" w:type="dxa"/>
              <w:right w:w="90" w:type="dxa"/>
            </w:tcMar>
          </w:tcPr>
          <w:p>
            <w:pPr>
              <w:spacing w:after="80" w:before="80" w:line="245" w:lineRule="auto"/>
            </w:pPr>
            <w:r>
              <w:rPr>
                <w:sz w:val="19"/>
              </w:rPr>
              <w:t>Préfixe de 24 bits</w:t>
            </w:r>
          </w:p>
        </w:tc>
      </w:tr>
    </w:tbl>
    <w:p>
      <w:pPr>
        <w:spacing w:after="0"/>
      </w:pPr>
    </w:p>
    <w:p>
      <w:r>
        <w:t>Les impulsions DOUT durent 320 ns pour 0 et 640 ns pour 1. La période des bits provient des fronts DIN, pas d’un oscillateur de protocole interne. Le délai LAUNCH de 640 ns est interne ; la synchronisation d’entrée ajoute une latence. Les essais fonctionnels observent 680 à 699 ns de front DIN à front DOUT.</w:t>
      </w:r>
    </w:p>
    <w:p>
      <w:r>
        <w:t>La fiche Worldsemi WS2812B V5 [1] spécifie T0H de 220 à 380 ns, T1H de 580 à 1 000 ns, les durées basses T0L/T1L de 580 à 1 000 ns et un reset bas supérieur à 280 µs. Les mots sont transmis en ordre GRB, bit fort en premier. Vérifier la fiche exacte des LED installées avant d’adopter ce profil.</w:t>
      </w:r>
    </w:p>
    <w:p>
      <w:r>
        <w:t>La qualification AstraPIO exige ici 300 µs de bas : une source dont le reset est seulement supérieur à 280 µs peut ne pas armer le moteur. Pour les essais, imposer au moins 310 µs de bas avant la première trame et entre les trames. Le temps commence après activation du moteur pour le premier armement.</w:t>
      </w:r>
    </w:p>
    <w:p>
      <w:r>
        <w:t>Pour une période DIN de 1 250 ns, les valeurs nominales basses DOUT sont 930 ns après un bit 0 et 610 ns après un bit 1. Tenir compte de la quantification de CLK, de sa précision, des pads et de l’adaptation de niveau. Changer CLK impose de recalculer tous les paramètres et de revalider le profil.</w:t>
      </w:r>
    </w:p>
    <w:p>
      <w:r>
        <w:br w:type="page"/>
      </w:r>
    </w:p>
    <w:p>
      <w:pPr>
        <w:pStyle w:val="Heading1"/>
      </w:pPr>
      <w:r>
        <w:t>4 Initialisation et premier mot</w:t>
      </w:r>
    </w:p>
    <w:p>
      <w:r>
        <w:t xml:space="preserve">Démarrer après un reset global connu, avec DIN maintenu bas, CS haut et SCK bas. Les seuls appels de désactivation ne purgent pas un COMMIT en attente ni une capture valide. Le </w:t>
      </w:r>
      <w:hyperlink r:id="rId12">
        <w:r>
          <w:rPr>
            <w:color w:val="17324D"/>
          </w:rPr>
          <w:t>démarrage rapide</w:t>
        </w:r>
      </w:hyperlink>
      <w:r>
        <w:t xml:space="preserve"> décrit le reset et le contrat de transport SPI.</w:t>
      </w:r>
    </w:p>
    <w:p>
      <w:r>
        <w:t xml:space="preserve">1. Vérifier ID </w:t>
      </w:r>
      <w:r>
        <w:rPr>
          <w:rFonts w:ascii="DejaVu Sans Mono" w:hAnsi="DejaVu Sans Mono"/>
          <w:sz w:val="18"/>
        </w:rPr>
        <w:t>0x5049</w:t>
      </w:r>
      <w:r>
        <w:t xml:space="preserve">, ABI </w:t>
      </w:r>
      <w:r>
        <w:rPr>
          <w:rFonts w:ascii="DejaVu Sans Mono" w:hAnsi="DejaVu Sans Mono"/>
          <w:sz w:val="18"/>
        </w:rPr>
        <w:t>0x0500</w:t>
      </w:r>
      <w:r>
        <w:t xml:space="preserve">, contextes </w:t>
      </w:r>
      <w:r>
        <w:rPr>
          <w:rFonts w:ascii="DejaVu Sans Mono" w:hAnsi="DejaVu Sans Mono"/>
          <w:sz w:val="18"/>
        </w:rPr>
        <w:t>1</w:t>
      </w:r>
      <w:r>
        <w:t xml:space="preserve">, capacité </w:t>
      </w:r>
      <w:r>
        <w:rPr>
          <w:rFonts w:ascii="DejaVu Sans Mono" w:hAnsi="DejaVu Sans Mono"/>
          <w:sz w:val="18"/>
        </w:rPr>
        <w:t>0x1002</w:t>
      </w:r>
      <w:r>
        <w:t xml:space="preserve">, puis TIMED_ID </w:t>
      </w:r>
      <w:r>
        <w:rPr>
          <w:rFonts w:ascii="DejaVu Sans Mono" w:hAnsi="DejaVu Sans Mono"/>
          <w:sz w:val="18"/>
        </w:rPr>
        <w:t>0x5449</w:t>
      </w:r>
      <w:r>
        <w:t xml:space="preserve"> et TIMED_VERSION </w:t>
      </w:r>
      <w:r>
        <w:rPr>
          <w:rFonts w:ascii="DejaVu Sans Mono" w:hAnsi="DejaVu Sans Mono"/>
          <w:sz w:val="18"/>
        </w:rPr>
        <w:t>0x0118</w:t>
      </w:r>
      <w:r>
        <w:t>.</w:t>
      </w:r>
    </w:p>
    <w:p>
      <w:r>
        <w:t>2. Garder le moteur désactivé. Vérifier que le PIO ne pilote pas I0 et ne revendique pas O8. Après reset, masque et directions sont nuls.</w:t>
      </w:r>
    </w:p>
    <w:p>
      <w:r>
        <w:t>3. Écrire et relire les cinq paramètres du tableau précédent ; vérifier les états d’erreur.</w:t>
      </w:r>
    </w:p>
    <w:p>
      <w:r>
        <w:t>4. Écrire les deux moitiés du mot TX, les relire, puis effectuer COMMIT moteur désactivé.</w:t>
      </w:r>
    </w:p>
    <w:p>
      <w:r>
        <w:t>5. Activer capture, sortie et remplacement ; laisser DIN bas pendant au moins 310 µs, puis envoyer une trame.</w:t>
      </w:r>
    </w:p>
    <w:p>
      <w:r>
        <w:t xml:space="preserve">Exemple de séquence brute pour une première valeur </w:t>
      </w:r>
      <w:r>
        <w:rPr>
          <w:rFonts w:ascii="DejaVu Sans Mono" w:hAnsi="DejaVu Sans Mono"/>
          <w:sz w:val="18"/>
        </w:rPr>
        <w:t>0x00FFFE</w:t>
      </w:r>
      <w:r>
        <w:t xml:space="preserve"> :</w:t>
      </w:r>
    </w:p>
    <w:p>
      <w:pPr>
        <w:spacing w:after="40" w:line="240" w:lineRule="auto"/>
      </w:pPr>
      <w:r>
        <w:rPr>
          <w:rFonts w:ascii="DejaVu Sans Mono" w:hAnsi="DejaVu Sans Mono"/>
          <w:sz w:val="17"/>
        </w:rPr>
        <w:t>W(61, 0000)     moteur désactivé</w:t>
      </w:r>
    </w:p>
    <w:p>
      <w:pPr>
        <w:spacing w:after="40" w:line="240" w:lineRule="auto"/>
      </w:pPr>
      <w:r>
        <w:rPr>
          <w:rFonts w:ascii="DejaVu Sans Mono" w:hAnsi="DejaVu Sans Mono"/>
          <w:sz w:val="17"/>
        </w:rPr>
        <w:t>W(62, 0080)     routage I0 vers O8</w:t>
      </w:r>
    </w:p>
    <w:p>
      <w:pPr>
        <w:spacing w:after="40" w:line="240" w:lineRule="auto"/>
      </w:pPr>
      <w:r>
        <w:rPr>
          <w:rFonts w:ascii="DejaVu Sans Mono" w:hAnsi="DejaVu Sans Mono"/>
          <w:sz w:val="17"/>
        </w:rPr>
        <w:t>W(63, 3A98)     intervalle bas</w:t>
      </w:r>
    </w:p>
    <w:p>
      <w:pPr>
        <w:spacing w:after="40" w:line="240" w:lineRule="auto"/>
      </w:pPr>
      <w:r>
        <w:rPr>
          <w:rFonts w:ascii="DejaVu Sans Mono" w:hAnsi="DejaVu Sans Mono"/>
          <w:sz w:val="17"/>
        </w:rPr>
        <w:t>W(64, 2019)     sample et launch</w:t>
      </w:r>
    </w:p>
    <w:p>
      <w:pPr>
        <w:spacing w:after="40" w:line="240" w:lineRule="auto"/>
      </w:pPr>
      <w:r>
        <w:rPr>
          <w:rFonts w:ascii="DejaVu Sans Mono" w:hAnsi="DejaVu Sans Mono"/>
          <w:sz w:val="17"/>
        </w:rPr>
        <w:t>W(65, 2010)     H0 et H1</w:t>
      </w:r>
    </w:p>
    <w:p>
      <w:pPr>
        <w:spacing w:after="40" w:line="240" w:lineRule="auto"/>
      </w:pPr>
      <w:r>
        <w:rPr>
          <w:rFonts w:ascii="DejaVu Sans Mono" w:hAnsi="DejaVu Sans Mono"/>
          <w:sz w:val="17"/>
        </w:rPr>
        <w:t>W(66, 0018)     24 bits</w:t>
      </w:r>
    </w:p>
    <w:p>
      <w:pPr>
        <w:spacing w:after="40" w:line="240" w:lineRule="auto"/>
      </w:pPr>
      <w:r>
        <w:rPr>
          <w:rFonts w:ascii="DejaVu Sans Mono" w:hAnsi="DejaVu Sans Mono"/>
          <w:sz w:val="17"/>
        </w:rPr>
        <w:t>W(67, FFFE)     TX bits 15 à 0</w:t>
      </w:r>
    </w:p>
    <w:p>
      <w:pPr>
        <w:spacing w:after="40" w:line="240" w:lineRule="auto"/>
      </w:pPr>
      <w:r>
        <w:rPr>
          <w:rFonts w:ascii="DejaVu Sans Mono" w:hAnsi="DejaVu Sans Mono"/>
          <w:sz w:val="17"/>
        </w:rPr>
        <w:t>W(68, 0000)     TX bits 23 à 16</w:t>
      </w:r>
    </w:p>
    <w:p>
      <w:pPr>
        <w:spacing w:after="40" w:line="240" w:lineRule="auto"/>
      </w:pPr>
      <w:r>
        <w:rPr>
          <w:rFonts w:ascii="DejaVu Sans Mono" w:hAnsi="DejaVu Sans Mono"/>
          <w:sz w:val="17"/>
        </w:rPr>
        <w:t>relire paramètres et TX ; vérifier les erreurs</w:t>
      </w:r>
    </w:p>
    <w:p>
      <w:pPr>
        <w:spacing w:after="40" w:line="240" w:lineRule="auto"/>
      </w:pPr>
      <w:r>
        <w:rPr>
          <w:rFonts w:ascii="DejaVu Sans Mono" w:hAnsi="DejaVu Sans Mono"/>
          <w:sz w:val="17"/>
        </w:rPr>
        <w:t>W(61, 0200)     COMMIT, moteur encore désactivé</w:t>
      </w:r>
    </w:p>
    <w:p>
      <w:pPr>
        <w:spacing w:after="40" w:line="240" w:lineRule="auto"/>
      </w:pPr>
      <w:r>
        <w:rPr>
          <w:rFonts w:ascii="DejaVu Sans Mono" w:hAnsi="DejaVu Sans Mono"/>
          <w:sz w:val="17"/>
        </w:rPr>
        <w:t>W(61, 0007)     ENABLE + OUTPUT + REPLACE</w:t>
      </w:r>
    </w:p>
    <w:p>
      <w:r>
        <w:t>W représente une transaction SPI complète, dont le résultat doit être contrôlé. Un octet de commande 02, un octet d’adresse et deux octets de données sont envoyés pour chaque ligne. Une première trame fait passer le mot préparé vers la banque active ; il n’est pas nécessaire de fournir 24 octets ni de charger la mémoire programme PIO.</w:t>
      </w:r>
    </w:p>
    <w:p>
      <w:r>
        <w:t xml:space="preserve">La fonction C </w:t>
      </w:r>
      <w:r>
        <w:rPr>
          <w:rFonts w:ascii="DejaVu Sans Mono" w:hAnsi="DejaVu Sans Mono"/>
          <w:sz w:val="18"/>
        </w:rPr>
        <w:t>pio_timed_configure()</w:t>
      </w:r>
      <w:r>
        <w:t xml:space="preserve"> programme et relit les paramètres. </w:t>
      </w:r>
      <w:r>
        <w:rPr>
          <w:rFonts w:ascii="DejaVu Sans Mono" w:hAnsi="DejaVu Sans Mono"/>
          <w:sz w:val="18"/>
        </w:rPr>
        <w:t>pio_timed_stage()</w:t>
      </w:r>
      <w:r>
        <w:t xml:space="preserve"> écrit et vérifie les deux moitiés TX puis effectue COMMIT. </w:t>
      </w:r>
      <w:r>
        <w:rPr>
          <w:rFonts w:ascii="DejaVu Sans Mono" w:hAnsi="DejaVu Sans Mono"/>
          <w:sz w:val="18"/>
        </w:rPr>
        <w:t>pio_timed_control()</w:t>
      </w:r>
      <w:r>
        <w:t xml:space="preserve"> active le mode choisi. L’exemple portable complet est </w:t>
      </w:r>
      <w:hyperlink r:id="rId13">
        <w:r>
          <w:rPr>
            <w:color w:val="17324D"/>
          </w:rPr>
          <w:t>ws2812_patch.c</w:t>
        </w:r>
      </w:hyperlink>
      <w:r>
        <w:t xml:space="preserve"> ; il nécessite un transport de carte implémentant le contrat de </w:t>
      </w:r>
      <w:r>
        <w:rPr>
          <w:rFonts w:ascii="DejaVu Sans Mono" w:hAnsi="DejaVu Sans Mono"/>
          <w:sz w:val="18"/>
        </w:rPr>
        <w:t>pio_device</w:t>
      </w:r>
      <w:r>
        <w:t>.</w:t>
      </w:r>
    </w:p>
    <w:p>
      <w:r>
        <w:br w:type="page"/>
      </w:r>
    </w:p>
    <w:p>
      <w:pPr>
        <w:pStyle w:val="Heading1"/>
      </w:pPr>
      <w:r>
        <w:t>5 Mise à jour sans déchirer la trame</w:t>
      </w:r>
    </w:p>
    <w:p>
      <w:r>
        <w:drawing>
          <wp:inline xmlns:a="http://schemas.openxmlformats.org/drawingml/2006/main" xmlns:pic="http://schemas.openxmlformats.org/drawingml/2006/picture">
            <wp:extent cx="6492240" cy="1867473"/>
            <wp:docPr id="2" name="Picture 2"/>
            <wp:cNvGraphicFramePr>
              <a:graphicFrameLocks noChangeAspect="1"/>
            </wp:cNvGraphicFramePr>
            <a:graphic>
              <a:graphicData uri="http://schemas.openxmlformats.org/drawingml/2006/picture">
                <pic:pic>
                  <pic:nvPicPr>
                    <pic:cNvPr id="0" name="an-ws2812-timing.png"/>
                    <pic:cNvPicPr/>
                  </pic:nvPicPr>
                  <pic:blipFill>
                    <a:blip r:embed="rId14"/>
                    <a:stretch>
                      <a:fillRect/>
                    </a:stretch>
                  </pic:blipFill>
                  <pic:spPr>
                    <a:xfrm>
                      <a:off x="0" y="0"/>
                      <a:ext cx="6492240" cy="1867473"/>
                    </a:xfrm>
                    <a:prstGeom prst="rect"/>
                  </pic:spPr>
                </pic:pic>
              </a:graphicData>
            </a:graphic>
          </wp:inline>
        </w:drawing>
      </w:r>
    </w:p>
    <w:p>
      <w:r>
        <w:t xml:space="preserve">Illustration issue du scénario fonctionnel : le mot sortant courant reste </w:t>
      </w:r>
      <w:r>
        <w:rPr>
          <w:rFonts w:ascii="DejaVu Sans Mono" w:hAnsi="DejaVu Sans Mono"/>
          <w:sz w:val="18"/>
        </w:rPr>
        <w:t>0x00FFFE</w:t>
      </w:r>
      <w:r>
        <w:t xml:space="preserve"> alors que l’hôte prépare </w:t>
      </w:r>
      <w:r>
        <w:rPr>
          <w:rFonts w:ascii="DejaVu Sans Mono" w:hAnsi="DejaVu Sans Mono"/>
          <w:sz w:val="18"/>
        </w:rPr>
        <w:t>0x00FFFF</w:t>
      </w:r>
      <w:r>
        <w:t>. Le chronogramme représente trois écritures SPI brutes, pas la durée du pilote C complet.</w:t>
      </w:r>
    </w:p>
    <w:p>
      <w:r>
        <w:t>Le moteur dispose d’une banque TX de préparation et d’une banque active. COMMIT verrouille la première. Au premier front d’une nouvelle trame après qualification du bas, son contenu est transféré vers la banque active. Le mot actif ne change pas pendant la trame.</w:t>
      </w:r>
    </w:p>
    <w:tbl>
      <w:tblPr>
        <w:tblW w:type="auto" w:w="0"/>
        <w:jc w:val="center"/>
        <w:tblLayout w:type="fixed"/>
        <w:tblLook w:firstColumn="1" w:firstRow="1" w:lastColumn="0" w:lastRow="0" w:noHBand="0" w:noVBand="1" w:val="04A0"/>
      </w:tblPr>
      <w:tblGrid>
        <w:gridCol w:w="3888"/>
        <w:gridCol w:w="6336"/>
      </w:tblGrid>
      <w:tr>
        <w:trPr>
          <w:cantSplit/>
          <w:tblHeader/>
        </w:trPr>
        <w:tc>
          <w:tcPr>
            <w:tcW w:type="dxa" w:w="3888"/>
            <w:vAlign w:val="center"/>
            <w:tcBorders>
              <w:top w:val="single" w:sz="4" w:color="D9D9D9"/>
              <w:left w:val="single" w:sz="4" w:color="D9D9D9"/>
              <w:bottom w:val="single" w:sz="4" w:color="D9D9D9"/>
              <w:right w:val="single" w:sz="4" w:color="D9D9D9"/>
            </w:tcBorders>
            <w:shd w:fill="17324D"/>
            <w:tcMar>
              <w:top w:w="90" w:type="dxa"/>
              <w:bottom w:w="90" w:type="dxa"/>
              <w:left w:w="90" w:type="dxa"/>
              <w:right w:w="90" w:type="dxa"/>
            </w:tcMar>
          </w:tcPr>
          <w:p>
            <w:pPr>
              <w:spacing w:after="80" w:before="80" w:line="245" w:lineRule="auto"/>
            </w:pPr>
            <w:r>
              <w:rPr>
                <w:b/>
                <w:color w:val="FFFFFF"/>
                <w:sz w:val="19"/>
              </w:rPr>
              <w:t>Moment de la demande</w:t>
            </w:r>
          </w:p>
        </w:tc>
        <w:tc>
          <w:tcPr>
            <w:tcW w:type="dxa" w:w="6336"/>
            <w:vAlign w:val="center"/>
            <w:tcBorders>
              <w:top w:val="single" w:sz="4" w:color="D9D9D9"/>
              <w:left w:val="single" w:sz="4" w:color="D9D9D9"/>
              <w:bottom w:val="single" w:sz="4" w:color="D9D9D9"/>
              <w:right w:val="single" w:sz="4" w:color="D9D9D9"/>
            </w:tcBorders>
            <w:shd w:fill="17324D"/>
            <w:tcMar>
              <w:top w:w="90" w:type="dxa"/>
              <w:bottom w:w="90" w:type="dxa"/>
              <w:left w:w="90" w:type="dxa"/>
              <w:right w:w="90" w:type="dxa"/>
            </w:tcMar>
          </w:tcPr>
          <w:p>
            <w:pPr>
              <w:spacing w:after="80" w:before="80" w:line="245" w:lineRule="auto"/>
            </w:pPr>
            <w:r>
              <w:rPr>
                <w:b/>
                <w:color w:val="FFFFFF"/>
                <w:sz w:val="19"/>
              </w:rPr>
              <w:t>Effet</w:t>
            </w:r>
          </w:p>
        </w:tc>
      </w:tr>
      <w:tr>
        <w:trPr>
          <w:cantSplit/>
        </w:trPr>
        <w:tc>
          <w:tcPr>
            <w:tcW w:type="dxa" w:w="3888"/>
            <w:vAlign w:val="center"/>
            <w:tcBorders>
              <w:top w:val="single" w:sz="4" w:color="D9D9D9"/>
              <w:left w:val="single" w:sz="4" w:color="D9D9D9"/>
              <w:bottom w:val="single" w:sz="4" w:color="D9D9D9"/>
              <w:right w:val="single" w:sz="4" w:color="D9D9D9"/>
            </w:tcBorders>
            <w:shd w:fill="F1F4F6"/>
            <w:tcMar>
              <w:top w:w="90" w:type="dxa"/>
              <w:bottom w:w="90" w:type="dxa"/>
              <w:left w:w="90" w:type="dxa"/>
              <w:right w:w="90" w:type="dxa"/>
            </w:tcMar>
          </w:tcPr>
          <w:p>
            <w:pPr>
              <w:spacing w:after="80" w:before="80" w:line="245" w:lineRule="auto"/>
            </w:pPr>
            <w:r>
              <w:rPr>
                <w:sz w:val="19"/>
              </w:rPr>
              <w:t>Pendant une trame</w:t>
            </w:r>
          </w:p>
        </w:tc>
        <w:tc>
          <w:tcPr>
            <w:tcW w:type="dxa" w:w="6336"/>
            <w:vAlign w:val="center"/>
            <w:tcBorders>
              <w:top w:val="single" w:sz="4" w:color="D9D9D9"/>
              <w:left w:val="single" w:sz="4" w:color="D9D9D9"/>
              <w:bottom w:val="single" w:sz="4" w:color="D9D9D9"/>
              <w:right w:val="single" w:sz="4" w:color="D9D9D9"/>
            </w:tcBorders>
            <w:shd w:fill="F1F4F6"/>
            <w:tcMar>
              <w:top w:w="90" w:type="dxa"/>
              <w:bottom w:w="90" w:type="dxa"/>
              <w:left w:w="90" w:type="dxa"/>
              <w:right w:w="90" w:type="dxa"/>
            </w:tcMar>
          </w:tcPr>
          <w:p>
            <w:pPr>
              <w:spacing w:after="80" w:before="80" w:line="245" w:lineRule="auto"/>
            </w:pPr>
            <w:r>
              <w:rPr>
                <w:sz w:val="19"/>
              </w:rPr>
              <w:t>Le COMMIT accepté s’applique à une trame qualifiée suivante</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80" w:before="80" w:line="245" w:lineRule="auto"/>
            </w:pPr>
            <w:r>
              <w:rPr>
                <w:sz w:val="19"/>
              </w:rPr>
              <w:t>Suffisamment avant son premier front</w:t>
            </w:r>
          </w:p>
        </w:tc>
        <w:tc>
          <w:tcPr>
            <w:tcW w:type="dxa" w:w="633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80" w:before="80" w:line="245" w:lineRule="auto"/>
            </w:pPr>
            <w:r>
              <w:rPr>
                <w:sz w:val="19"/>
              </w:rPr>
              <w:t>La nouvelle valeur peut servir à cette trame</w:t>
            </w:r>
          </w:p>
        </w:tc>
      </w:tr>
      <w:tr>
        <w:trPr>
          <w:cantSplit/>
        </w:trPr>
        <w:tc>
          <w:tcPr>
            <w:tcW w:type="dxa" w:w="3888"/>
            <w:vAlign w:val="center"/>
            <w:tcBorders>
              <w:top w:val="single" w:sz="4" w:color="D9D9D9"/>
              <w:left w:val="single" w:sz="4" w:color="D9D9D9"/>
              <w:bottom w:val="single" w:sz="4" w:color="D9D9D9"/>
              <w:right w:val="single" w:sz="4" w:color="D9D9D9"/>
            </w:tcBorders>
            <w:shd w:fill="F1F4F6"/>
            <w:tcMar>
              <w:top w:w="90" w:type="dxa"/>
              <w:bottom w:w="90" w:type="dxa"/>
              <w:left w:w="90" w:type="dxa"/>
              <w:right w:w="90" w:type="dxa"/>
            </w:tcMar>
          </w:tcPr>
          <w:p>
            <w:pPr>
              <w:spacing w:after="80" w:before="80" w:line="245" w:lineRule="auto"/>
            </w:pPr>
            <w:r>
              <w:rPr>
                <w:sz w:val="19"/>
              </w:rPr>
              <w:t>Au voisinage exact de la frontière</w:t>
            </w:r>
          </w:p>
        </w:tc>
        <w:tc>
          <w:tcPr>
            <w:tcW w:type="dxa" w:w="6336"/>
            <w:vAlign w:val="center"/>
            <w:tcBorders>
              <w:top w:val="single" w:sz="4" w:color="D9D9D9"/>
              <w:left w:val="single" w:sz="4" w:color="D9D9D9"/>
              <w:bottom w:val="single" w:sz="4" w:color="D9D9D9"/>
              <w:right w:val="single" w:sz="4" w:color="D9D9D9"/>
            </w:tcBorders>
            <w:shd w:fill="F1F4F6"/>
            <w:tcMar>
              <w:top w:w="90" w:type="dxa"/>
              <w:bottom w:w="90" w:type="dxa"/>
              <w:left w:w="90" w:type="dxa"/>
              <w:right w:w="90" w:type="dxa"/>
            </w:tcMar>
          </w:tcPr>
          <w:p>
            <w:pPr>
              <w:spacing w:after="80" w:before="80" w:line="245" w:lineRule="auto"/>
            </w:pPr>
            <w:r>
              <w:rPr>
                <w:sz w:val="19"/>
              </w:rPr>
              <w:t>L’hôte ne peut pas garantir laquelle des deux trames l’utilisera</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80" w:before="80" w:line="245" w:lineRule="auto"/>
            </w:pPr>
            <w:r>
              <w:rPr>
                <w:sz w:val="19"/>
              </w:rPr>
            </w:r>
            <w:r>
              <w:rPr>
                <w:rFonts w:ascii="DejaVu Sans Mono" w:hAnsi="DejaVu Sans Mono"/>
                <w:sz w:val="19"/>
              </w:rPr>
              <w:t>COMMIT_PENDING=1</w:t>
            </w:r>
            <w:r>
              <w:rPr>
                <w:sz w:val="19"/>
              </w:rPr>
            </w:r>
          </w:p>
        </w:tc>
        <w:tc>
          <w:tcPr>
            <w:tcW w:type="dxa" w:w="633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80" w:before="80" w:line="245" w:lineRule="auto"/>
            </w:pPr>
            <w:r>
              <w:rPr>
                <w:sz w:val="19"/>
              </w:rPr>
              <w:t>Pas de seconde place disponible ; différer la demande</w:t>
            </w:r>
          </w:p>
        </w:tc>
      </w:tr>
      <w:tr>
        <w:trPr>
          <w:cantSplit/>
        </w:trPr>
        <w:tc>
          <w:tcPr>
            <w:tcW w:type="dxa" w:w="3888"/>
            <w:vAlign w:val="center"/>
            <w:tcBorders>
              <w:top w:val="single" w:sz="4" w:color="D9D9D9"/>
              <w:left w:val="single" w:sz="4" w:color="D9D9D9"/>
              <w:bottom w:val="single" w:sz="4" w:color="D9D9D9"/>
              <w:right w:val="single" w:sz="4" w:color="D9D9D9"/>
            </w:tcBorders>
            <w:shd w:fill="F1F4F6"/>
            <w:tcMar>
              <w:top w:w="90" w:type="dxa"/>
              <w:bottom w:w="90" w:type="dxa"/>
              <w:left w:w="90" w:type="dxa"/>
              <w:right w:w="90" w:type="dxa"/>
            </w:tcMar>
          </w:tcPr>
          <w:p>
            <w:pPr>
              <w:spacing w:after="80" w:before="80" w:line="245" w:lineRule="auto"/>
            </w:pPr>
            <w:r>
              <w:rPr>
                <w:sz w:val="19"/>
              </w:rPr>
              <w:t>Aucune demande</w:t>
            </w:r>
          </w:p>
        </w:tc>
        <w:tc>
          <w:tcPr>
            <w:tcW w:type="dxa" w:w="6336"/>
            <w:vAlign w:val="center"/>
            <w:tcBorders>
              <w:top w:val="single" w:sz="4" w:color="D9D9D9"/>
              <w:left w:val="single" w:sz="4" w:color="D9D9D9"/>
              <w:bottom w:val="single" w:sz="4" w:color="D9D9D9"/>
              <w:right w:val="single" w:sz="4" w:color="D9D9D9"/>
            </w:tcBorders>
            <w:shd w:fill="F1F4F6"/>
            <w:tcMar>
              <w:top w:w="90" w:type="dxa"/>
              <w:bottom w:w="90" w:type="dxa"/>
              <w:left w:w="90" w:type="dxa"/>
              <w:right w:w="90" w:type="dxa"/>
            </w:tcMar>
          </w:tcPr>
          <w:p>
            <w:pPr>
              <w:spacing w:after="80" w:before="80" w:line="245" w:lineRule="auto"/>
            </w:pPr>
            <w:r>
              <w:rPr>
                <w:sz w:val="19"/>
              </w:rPr>
              <w:t>La valeur active est réutilisée</w:t>
            </w:r>
          </w:p>
        </w:tc>
      </w:tr>
    </w:tbl>
    <w:p>
      <w:pPr>
        <w:spacing w:after="0"/>
      </w:pPr>
    </w:p>
    <w:p>
      <w:r>
        <w:t xml:space="preserve">Pour un compteur, calculer </w:t>
      </w:r>
      <w:r>
        <w:rPr>
          <w:rFonts w:ascii="DejaVu Sans Mono" w:hAnsi="DejaVu Sans Mono"/>
          <w:sz w:val="18"/>
        </w:rPr>
        <w:t>(derniere_valeur_preparee + 1) &amp; 0xFFFFFF</w:t>
      </w:r>
      <w:r>
        <w:t xml:space="preserve"> côté hôte. Mettre à jour cette variable seulement après le succès de </w:t>
      </w:r>
      <w:r>
        <w:rPr>
          <w:rFonts w:ascii="DejaVu Sans Mono" w:hAnsi="DejaVu Sans Mono"/>
          <w:sz w:val="18"/>
        </w:rPr>
        <w:t>stage()</w:t>
      </w:r>
      <w:r>
        <w:t>. Cette variable désigne la valeur préparée, pas une preuve que les LED l’ont déjà reçue. Une valeur peut être en attente jusqu’à l’arrivée de DIN.</w:t>
      </w:r>
    </w:p>
    <w:p>
      <w:r>
        <w:t xml:space="preserve">Si </w:t>
      </w:r>
      <w:r>
        <w:rPr>
          <w:rFonts w:ascii="DejaVu Sans Mono" w:hAnsi="DejaVu Sans Mono"/>
          <w:sz w:val="18"/>
        </w:rPr>
        <w:t>stage()</w:t>
      </w:r>
      <w:r>
        <w:t xml:space="preserve"> renvoie </w:t>
      </w:r>
      <w:r>
        <w:rPr>
          <w:rFonts w:ascii="DejaVu Sans Mono" w:hAnsi="DejaVu Sans Mono"/>
          <w:sz w:val="18"/>
        </w:rPr>
        <w:t>PIO_EFULL</w:t>
      </w:r>
      <w:r>
        <w:t>, conserver la demande dans une file logicielle et attendre. Après une erreur de transport, ne pas réémettre aveuglément le COMMIT : son effet peut être incertain. Il faut rétablir un état connu avant de poursuivre le comptage. La désactivation seule n’annule pas un COMMIT.</w:t>
      </w:r>
    </w:p>
    <w:p>
      <w:r>
        <w:br w:type="page"/>
      </w:r>
    </w:p>
    <w:p>
      <w:pPr>
        <w:pStyle w:val="Heading1"/>
      </w:pPr>
      <w:r>
        <w:t>6 Réception et service de l’hôte</w:t>
      </w:r>
    </w:p>
    <w:p>
      <w:r>
        <w:t xml:space="preserve">Quand les 24 bits sont capturés, </w:t>
      </w:r>
      <w:r>
        <w:rPr>
          <w:rFonts w:ascii="DejaVu Sans Mono" w:hAnsi="DejaVu Sans Mono"/>
          <w:sz w:val="18"/>
        </w:rPr>
        <w:t>RX_VALID</w:t>
      </w:r>
      <w:r>
        <w:t xml:space="preserve"> passe à 1 et IRQ est activée. Le mot RX reste stable jusqu’à ACK. Le reste de la trame continue d’être relayé pendant les transactions SPI. Une seule capture est disponible, indépendamment de la FIFO RX du PIO.</w:t>
      </w:r>
    </w:p>
    <w:p>
      <w:pPr>
        <w:spacing w:after="40" w:line="240" w:lineRule="auto"/>
      </w:pPr>
      <w:r>
        <w:rPr>
          <w:rFonts w:ascii="DejaVu Sans Mono" w:hAnsi="DejaVu Sans Mono"/>
          <w:sz w:val="17"/>
        </w:rPr>
        <w:t>tâche propriétaire du périphérique</w:t>
      </w:r>
    </w:p>
    <w:p>
      <w:pPr>
        <w:spacing w:after="40" w:line="240" w:lineRule="auto"/>
      </w:pPr>
      <w:r>
        <w:rPr>
          <w:rFonts w:ascii="DejaVu Sans Mono" w:hAnsi="DejaVu Sans Mono"/>
          <w:sz w:val="17"/>
        </w:rPr>
        <w:t xml:space="preserve">    lire TIMED_STATUS et PIO_ERROR</w:t>
      </w:r>
    </w:p>
    <w:p>
      <w:pPr>
        <w:spacing w:after="40" w:line="240" w:lineRule="auto"/>
      </w:pPr>
      <w:r>
        <w:rPr>
          <w:rFonts w:ascii="DejaVu Sans Mono" w:hAnsi="DejaVu Sans Mono"/>
          <w:sz w:val="17"/>
        </w:rPr>
        <w:t xml:space="preserve">    si erreur présente : diagnostiquer avant de l’acquitter</w:t>
      </w:r>
    </w:p>
    <w:p>
      <w:pPr>
        <w:spacing w:after="40" w:line="240" w:lineRule="auto"/>
      </w:pPr>
      <w:r>
        <w:rPr>
          <w:rFonts w:ascii="DejaVu Sans Mono" w:hAnsi="DejaVu Sans Mono"/>
          <w:sz w:val="17"/>
        </w:rPr>
        <w:t xml:space="preserve">    si RX_VALID</w:t>
      </w:r>
    </w:p>
    <w:p>
      <w:pPr>
        <w:spacing w:after="40" w:line="240" w:lineRule="auto"/>
      </w:pPr>
      <w:r>
        <w:rPr>
          <w:rFonts w:ascii="DejaVu Sans Mono" w:hAnsi="DejaVu Sans Mono"/>
          <w:sz w:val="17"/>
        </w:rPr>
        <w:t xml:space="preserve">        lire RX_PREFIX_LO et RX_PREFIX_HI</w:t>
      </w:r>
    </w:p>
    <w:p>
      <w:pPr>
        <w:spacing w:after="40" w:line="240" w:lineRule="auto"/>
      </w:pPr>
      <w:r>
        <w:rPr>
          <w:rFonts w:ascii="DejaVu Sans Mono" w:hAnsi="DejaVu Sans Mono"/>
          <w:sz w:val="17"/>
        </w:rPr>
        <w:t xml:space="preserve">        accepter/copier le mot dans l’application</w:t>
      </w:r>
    </w:p>
    <w:p>
      <w:pPr>
        <w:spacing w:after="40" w:line="240" w:lineRule="auto"/>
      </w:pPr>
      <w:r>
        <w:rPr>
          <w:rFonts w:ascii="DejaVu Sans Mono" w:hAnsi="DejaVu Sans Mono"/>
          <w:sz w:val="17"/>
        </w:rPr>
        <w:t xml:space="preserve">        écrire 0x0107 dans TIMED_CTRL</w:t>
      </w:r>
    </w:p>
    <w:p>
      <w:pPr>
        <w:spacing w:after="40" w:line="240" w:lineRule="auto"/>
      </w:pPr>
      <w:r>
        <w:rPr>
          <w:rFonts w:ascii="DejaVu Sans Mono" w:hAnsi="DejaVu Sans Mono"/>
          <w:sz w:val="17"/>
        </w:rPr>
        <w:t xml:space="preserve">    traiter une demande de nouvelle valeur si la banque TX est libre</w:t>
      </w:r>
    </w:p>
    <w:p>
      <w:pPr>
        <w:spacing w:after="40" w:line="240" w:lineRule="auto"/>
      </w:pPr>
      <w:r>
        <w:rPr>
          <w:rFonts w:ascii="DejaVu Sans Mono" w:hAnsi="DejaVu Sans Mono"/>
          <w:sz w:val="17"/>
        </w:rPr>
        <w:t xml:space="preserve">    vérifier les sources si IRQ reste active</w:t>
      </w:r>
    </w:p>
    <w:p>
      <w:r/>
      <w:r>
        <w:rPr>
          <w:rFonts w:ascii="DejaVu Sans Mono" w:hAnsi="DejaVu Sans Mono"/>
          <w:sz w:val="18"/>
        </w:rPr>
        <w:t>0x0107</w:t>
      </w:r>
      <w:r>
        <w:t xml:space="preserve"> conserve les trois bits de mode tout en acquittant RX. Écrire seulement </w:t>
      </w:r>
      <w:r>
        <w:rPr>
          <w:rFonts w:ascii="DejaVu Sans Mono" w:hAnsi="DejaVu Sans Mono"/>
          <w:sz w:val="18"/>
        </w:rPr>
        <w:t>0x0100</w:t>
      </w:r>
      <w:r>
        <w:t xml:space="preserve"> désactiverait le moteur. De même, </w:t>
      </w:r>
      <w:r>
        <w:rPr>
          <w:rFonts w:ascii="DejaVu Sans Mono" w:hAnsi="DejaVu Sans Mono"/>
          <w:sz w:val="18"/>
        </w:rPr>
        <w:t>0x0407</w:t>
      </w:r>
      <w:r>
        <w:t xml:space="preserve"> efface les erreurs tout en conservant le mode, après traitement de leur cause.</w:t>
      </w:r>
    </w:p>
    <w:p>
      <w:r>
        <w:t xml:space="preserve">Tous les accès au même </w:t>
      </w:r>
      <w:r>
        <w:rPr>
          <w:rFonts w:ascii="DejaVu Sans Mono" w:hAnsi="DejaVu Sans Mono"/>
          <w:sz w:val="18"/>
        </w:rPr>
        <w:t>pio_device</w:t>
      </w:r>
      <w:r>
        <w:t xml:space="preserve"> doivent être sérialisés, y compris ceux initiés par interruption ou DMA. Une ISR peut réveiller une tâche de service ; elle ne doit pas couper une transaction SPI déjà en cours. Un ACK doit suivre l’acceptation des deux moitiés du mot, jamais la précéder.</w:t>
      </w:r>
    </w:p>
    <w:p>
      <w:r>
        <w:t>Si une nouvelle trame débute avant ACK, le circuit garde l’ancienne capture, signale RX_OVERRUN et ignore la nouvelle capture. Le relais peut continuer. Un ACK au milieu de cette nouvelle trame ne récupère pas son préfixe. Dimensionner le service hôte pour acquitter chaque capture avant le prochain début de trame lorsque toutes les acquisitions sont requises.</w:t>
      </w:r>
    </w:p>
    <w:p>
      <w:r>
        <w:t>La durée nominale d’un mot à 800 kbit/s est 30 µs. Le budget de service RX s’étend ensuite jusqu’au début de la trame suivante, en incluant la suite de la trame et son intervalle bas. Il dépend donc du nombre de LED et de la cadence réelle des trames, pas seulement du débit des bits.</w:t>
      </w:r>
    </w:p>
    <w:p>
      <w:r>
        <w:t>L’autonomie du relais ne signifie pas absence de supervision : l’application doit gérer les erreurs, les demandes de valeur et les limites de latence.</w:t>
      </w:r>
    </w:p>
    <w:p>
      <w:r>
        <w:br w:type="page"/>
      </w:r>
    </w:p>
    <w:p>
      <w:pPr>
        <w:pStyle w:val="Heading1"/>
      </w:pPr>
      <w:r>
        <w:t>7 Vérification de l’application</w:t>
      </w:r>
    </w:p>
    <w:p>
      <w:r>
        <w:t>Le banc de test envoie 12 trames de 120 bits : un mot remplacé et quatre mots relayés. Il vérifie les captures SPI, le nombre et la valeur des bits DOUT, leurs largeurs, les mises à jour atomiques, IRQ/ACK et l’exécution simultanée d’un programme PIO sur une autre broche. Il exerce les retenues et le rebouclage du compteur 24 bits, ainsi que les trames sans demande d’incrément.</w:t>
      </w:r>
    </w:p>
    <w:p>
      <w:r>
        <w:t>Le rejeu de référence passe 12 scénarios en RTL et 12 sur la netlist routée, avec 1 440 bits de sortie vérifiés par mode dans le scénario compteur. Les deux modèles donnent les mêmes observations. Ce sont des simulations fonctionnelles sans SDF, avec un modèle SPI de l’hôte, pas un LPC réel.</w:t>
      </w:r>
    </w:p>
    <w:p>
      <w:pPr>
        <w:spacing w:after="40" w:line="240" w:lineRule="auto"/>
      </w:pPr>
      <w:r>
        <w:rPr>
          <w:rFonts w:ascii="DejaVu Sans Mono" w:hAnsi="DejaVu Sans Mono"/>
          <w:sz w:val="17"/>
        </w:rPr>
        <w:t>python3 tools/check_final_release.py</w:t>
      </w:r>
    </w:p>
    <w:p>
      <w:pPr>
        <w:spacing w:after="40" w:line="240" w:lineRule="auto"/>
      </w:pPr>
      <w:r>
        <w:rPr>
          <w:rFonts w:ascii="DejaVu Sans Mono" w:hAnsi="DejaVu Sans Mono"/>
          <w:sz w:val="17"/>
        </w:rPr>
        <w:t>make -C test/ws2812 MODE=rtl</w:t>
      </w:r>
    </w:p>
    <w:p>
      <w:pPr>
        <w:spacing w:after="40" w:line="240" w:lineRule="auto"/>
      </w:pPr>
      <w:r>
        <w:rPr>
          <w:rFonts w:ascii="DejaVu Sans Mono" w:hAnsi="DejaVu Sans Mono"/>
          <w:sz w:val="17"/>
        </w:rPr>
        <w:t>python3 tools/check_results.py work/ws2812-counter-replay/rtl/results.xml</w:t>
      </w:r>
    </w:p>
    <w:p>
      <w:pPr>
        <w:spacing w:after="40" w:line="240" w:lineRule="auto"/>
      </w:pPr>
      <w:r>
        <w:rPr>
          <w:rFonts w:ascii="DejaVu Sans Mono" w:hAnsi="DejaVu Sans Mono"/>
          <w:sz w:val="17"/>
        </w:rPr>
        <w:t>make -C test/ws2812 MODE=gl</w:t>
      </w:r>
    </w:p>
    <w:p>
      <w:pPr>
        <w:spacing w:after="40" w:line="240" w:lineRule="auto"/>
      </w:pPr>
      <w:r>
        <w:rPr>
          <w:rFonts w:ascii="DejaVu Sans Mono" w:hAnsi="DejaVu Sans Mono"/>
          <w:sz w:val="17"/>
        </w:rPr>
        <w:t>python3 tools/check_results.py work/ws2812-counter-replay/gl/results.xml</w:t>
      </w:r>
    </w:p>
    <w:p>
      <w:r>
        <w:t xml:space="preserve">Installer d’abord Icarus Verilog 13 et les dépendances de </w:t>
      </w:r>
      <w:r>
        <w:rPr>
          <w:rFonts w:ascii="DejaVu Sans Mono" w:hAnsi="DejaVu Sans Mono"/>
          <w:sz w:val="18"/>
        </w:rPr>
        <w:t>test/requirements.txt</w:t>
      </w:r>
      <w:r>
        <w:t xml:space="preserve"> dans un environnement Python. Les commandes sont détaillées dans le </w:t>
      </w:r>
      <w:hyperlink r:id="rId15">
        <w:r>
          <w:rPr>
            <w:color w:val="17324D"/>
          </w:rPr>
          <w:t>guide du banc de test</w:t>
        </w:r>
      </w:hyperlink>
      <w:r>
        <w:t>.</w:t>
      </w:r>
    </w:p>
    <w:p>
      <w:r>
        <w:t xml:space="preserve">Sur carte, contrôler à l’oscilloscope CLK, DIN et DOUT, les durées hautes et basses, le reset de trame et les niveaux électriques. Essayer des préfixes </w:t>
      </w:r>
      <w:r>
        <w:rPr>
          <w:rFonts w:ascii="DejaVu Sans Mono" w:hAnsi="DejaVu Sans Mono"/>
          <w:sz w:val="18"/>
        </w:rPr>
        <w:t>000000</w:t>
      </w:r>
      <w:r>
        <w:t xml:space="preserve">, </w:t>
      </w:r>
      <w:r>
        <w:rPr>
          <w:rFonts w:ascii="DejaVu Sans Mono" w:hAnsi="DejaVu Sans Mono"/>
          <w:sz w:val="18"/>
        </w:rPr>
        <w:t>FFFFFF</w:t>
      </w:r>
      <w:r>
        <w:t xml:space="preserve">, </w:t>
      </w:r>
      <w:r>
        <w:rPr>
          <w:rFonts w:ascii="DejaVu Sans Mono" w:hAnsi="DejaVu Sans Mono"/>
          <w:sz w:val="18"/>
        </w:rPr>
        <w:t>AAAAAA</w:t>
      </w:r>
      <w:r>
        <w:t xml:space="preserve">, </w:t>
      </w:r>
      <w:r>
        <w:rPr>
          <w:rFonts w:ascii="DejaVu Sans Mono" w:hAnsi="DejaVu Sans Mono"/>
          <w:sz w:val="18"/>
        </w:rPr>
        <w:t>555555</w:t>
      </w:r>
      <w:r>
        <w:t>, une longue suite inchangée, des mises à jour pendant la trame et un hôte volontairement retardé. Vérifier les compteurs d’erreurs logiciels et le comportement de récupération avant d’utiliser le montage dans l’application.</w:t>
      </w:r>
    </w:p>
    <w:p>
      <w:pPr>
        <w:pStyle w:val="Heading1"/>
      </w:pPr>
      <w:r>
        <w:t>Références</w:t>
      </w:r>
    </w:p>
    <w:p>
      <w:r>
        <w:t xml:space="preserve">[1] </w:t>
      </w:r>
      <w:hyperlink r:id="rId16">
        <w:r>
          <w:rPr>
            <w:color w:val="17324D"/>
          </w:rPr>
          <w:t>Worldsemi WS2812B V5, pages 3 et 4</w:t>
        </w:r>
      </w:hyperlink>
      <w:r>
        <w:t xml:space="preserve"> : temporisations et ordre des bits, consulté le 23 septembre 2026.</w:t>
      </w:r>
    </w:p>
    <w:p>
      <w:r>
        <w:t xml:space="preserve">[2] </w:t>
      </w:r>
      <w:hyperlink r:id="rId17">
        <w:r>
          <w:rPr>
            <w:color w:val="17324D"/>
          </w:rPr>
          <w:t>Manuel de référence AstraPIO ABI 5</w:t>
        </w:r>
      </w:hyperlink>
      <w:r>
        <w:t>, moteur temporel et interface SPI.</w:t>
      </w:r>
    </w:p>
    <w:p>
      <w:r>
        <w:t xml:space="preserve">[3] </w:t>
      </w:r>
      <w:hyperlink r:id="rId18">
        <w:r>
          <w:rPr>
            <w:color w:val="17324D"/>
          </w:rPr>
          <w:t>Scénario de simulation</w:t>
        </w:r>
      </w:hyperlink>
      <w:r>
        <w:t xml:space="preserve"> et </w:t>
      </w:r>
      <w:hyperlink r:id="rId19">
        <w:r>
          <w:rPr>
            <w:color w:val="17324D"/>
          </w:rPr>
          <w:t>pilote C</w:t>
        </w:r>
      </w:hyperlink>
      <w:r>
        <w:t>.</w:t>
      </w:r>
    </w:p>
    <w:sectPr w:rsidR="00FC693F" w:rsidRPr="0006063C" w:rsidSect="00034616">
      <w:headerReference w:type="default" r:id="rId9"/>
      <w:footerReference w:type="default" r:id="rId10"/>
      <w:pgSz w:w="12240" w:h="15840"/>
      <w:pgMar w:top="1008"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23 septembre 2026  |  </w:t>
    </w:r>
    <w:fldSimple w:instr="PAGE"/>
    <w:r>
      <w:rPr>
        <w:sz w:val="16"/>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AstraPIO  |  ABI 5                                      AN APIO 001  |  Rév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0" w:lineRule="auto"/>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line="250" w:lineRule="auto"/>
      <w:outlineLvl w:val="0"/>
    </w:pPr>
    <w:rPr>
      <w:rFonts w:asciiTheme="majorHAnsi" w:eastAsiaTheme="majorEastAsia" w:hAnsiTheme="majorHAnsi" w:cstheme="majorBidi" w:ascii="DejaVu Sans" w:hAnsi="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50" w:lineRule="auto"/>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0" w:lineRule="auto"/>
      <w:contextualSpacing/>
    </w:pPr>
    <w:rPr>
      <w:rFonts w:asciiTheme="majorHAnsi" w:eastAsiaTheme="majorEastAsia" w:hAnsiTheme="majorHAnsi" w:cstheme="majorBidi" w:ascii="DejaVu Sans" w:hAnsi="DejaVu Sans"/>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fvannel/AstraPIO/blob/main/docs/getting-started.md" TargetMode="External"/><Relationship Id="rId13" Type="http://schemas.openxmlformats.org/officeDocument/2006/relationships/hyperlink" Target="https://github.com/fvannel/AstraPIO/blob/main/docs/application-notes/examples/ws2812_patch.c" TargetMode="External"/><Relationship Id="rId14" Type="http://schemas.openxmlformats.org/officeDocument/2006/relationships/image" Target="media/image2.png"/><Relationship Id="rId15" Type="http://schemas.openxmlformats.org/officeDocument/2006/relationships/hyperlink" Target="https://github.com/fvannel/AstraPIO/blob/main/test/ws2812/README.md" TargetMode="External"/><Relationship Id="rId16" Type="http://schemas.openxmlformats.org/officeDocument/2006/relationships/hyperlink" Target="https://www.world-semi.co.kr/_files/ugd/89cd03_1023b0e9d135431aa1e6491bfc318112.pdf" TargetMode="External"/><Relationship Id="rId17" Type="http://schemas.openxmlformats.org/officeDocument/2006/relationships/hyperlink" Target="https://github.com/fvannel/AstraPIO/blob/main/docs/reference.md" TargetMode="External"/><Relationship Id="rId18" Type="http://schemas.openxmlformats.org/officeDocument/2006/relationships/hyperlink" Target="https://github.com/fvannel/AstraPIO/blob/main/test/test_ws2812_counter.py" TargetMode="External"/><Relationship Id="rId19" Type="http://schemas.openxmlformats.org/officeDocument/2006/relationships/hyperlink" Target="https://github.com/fvannel/AstraPIO/blob/main/firmware/pio_timed.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Patching en direct d’un flux WS2812 avec AstraPIO</dc:title>
  <dc:subject>AN APIO 001 pour AstraPIO ABI 5</dc:subject>
  <dc:creator>AstraPIO</dc:creator>
  <cp:keywords/>
  <dc:description>generated by python-docx</dc:description>
  <cp:lastModifiedBy/>
  <cp:revision>1</cp:revision>
  <dcterms:created xsi:type="dcterms:W3CDTF">2013-12-23T23:15:00Z</dcterms:created>
  <dcterms:modified xsi:type="dcterms:W3CDTF">2013-12-23T23:15:00Z</dcterms:modified>
  <cp:category/>
</cp:coreProperties>
</file>