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BC247" w14:textId="4AB19CB2" w:rsidR="00F162B0" w:rsidRPr="00FC0F33" w:rsidRDefault="00F162B0" w:rsidP="00F162B0">
      <w:pPr>
        <w:jc w:val="both"/>
        <w:rPr>
          <w:sz w:val="22"/>
          <w:szCs w:val="22"/>
        </w:rPr>
      </w:pPr>
      <w:r w:rsidRPr="00FC0F33">
        <w:rPr>
          <w:rFonts w:ascii="Arial" w:hAnsi="Arial" w:cs="Arial"/>
          <w:b/>
          <w:bCs/>
          <w:sz w:val="22"/>
          <w:szCs w:val="22"/>
        </w:rPr>
        <w:t>Reporte 1</w:t>
      </w:r>
      <w:r w:rsidRPr="00FC0F33">
        <w:rPr>
          <w:rFonts w:ascii="Arial" w:hAnsi="Arial" w:cs="Arial"/>
          <w:sz w:val="22"/>
          <w:szCs w:val="22"/>
        </w:rPr>
        <w:t xml:space="preserve">: Este cuenta </w:t>
      </w:r>
      <w:r w:rsidRPr="00FC0F33">
        <w:rPr>
          <w:rFonts w:ascii="Arial" w:hAnsi="Arial" w:cs="Arial"/>
          <w:sz w:val="22"/>
          <w:szCs w:val="22"/>
        </w:rPr>
        <w:t>con un sistema corporativo de tarjetas KPI en la parte superior</w:t>
      </w:r>
      <w:r w:rsidRPr="00FC0F33">
        <w:rPr>
          <w:rFonts w:ascii="Arial" w:hAnsi="Arial" w:cs="Arial"/>
          <w:sz w:val="22"/>
          <w:szCs w:val="22"/>
        </w:rPr>
        <w:t>.</w:t>
      </w:r>
      <w:r w:rsidRPr="00FC0F33">
        <w:rPr>
          <w:rFonts w:ascii="Arial" w:hAnsi="Arial" w:cs="Arial"/>
          <w:sz w:val="22"/>
          <w:szCs w:val="22"/>
        </w:rPr>
        <w:t xml:space="preserve"> </w:t>
      </w:r>
      <w:r w:rsidRPr="00FC0F33">
        <w:rPr>
          <w:rFonts w:ascii="Arial" w:hAnsi="Arial" w:cs="Arial"/>
          <w:sz w:val="22"/>
          <w:szCs w:val="22"/>
        </w:rPr>
        <w:t>La tarjeta de Margen Porcentual</w:t>
      </w:r>
      <w:r w:rsidRPr="00FC0F33">
        <w:rPr>
          <w:rFonts w:ascii="Arial" w:hAnsi="Arial" w:cs="Arial"/>
          <w:sz w:val="22"/>
          <w:szCs w:val="22"/>
        </w:rPr>
        <w:t xml:space="preserve"> </w:t>
      </w:r>
      <w:r w:rsidRPr="00FC0F33">
        <w:rPr>
          <w:rFonts w:ascii="Arial" w:hAnsi="Arial" w:cs="Arial"/>
          <w:sz w:val="22"/>
          <w:szCs w:val="22"/>
        </w:rPr>
        <w:t xml:space="preserve">tiene </w:t>
      </w:r>
      <w:r w:rsidRPr="00FC0F33">
        <w:rPr>
          <w:rFonts w:ascii="Arial" w:hAnsi="Arial" w:cs="Arial"/>
          <w:sz w:val="22"/>
          <w:szCs w:val="22"/>
        </w:rPr>
        <w:t xml:space="preserve">formato condicional, el cual </w:t>
      </w:r>
      <w:r w:rsidRPr="00FC0F33">
        <w:rPr>
          <w:rFonts w:ascii="Arial" w:hAnsi="Arial" w:cs="Arial"/>
          <w:sz w:val="22"/>
          <w:szCs w:val="22"/>
        </w:rPr>
        <w:t>colorea</w:t>
      </w:r>
      <w:r w:rsidRPr="00FC0F33">
        <w:rPr>
          <w:rFonts w:ascii="Arial" w:hAnsi="Arial" w:cs="Arial"/>
          <w:sz w:val="22"/>
          <w:szCs w:val="22"/>
        </w:rPr>
        <w:t xml:space="preserve"> las métricas en color naranja institucional </w:t>
      </w:r>
      <w:r w:rsidRPr="00FC0F33">
        <w:rPr>
          <w:rFonts w:ascii="Arial" w:hAnsi="Arial" w:cs="Arial"/>
          <w:sz w:val="22"/>
          <w:szCs w:val="22"/>
        </w:rPr>
        <w:t>cuando baja del 35%</w:t>
      </w:r>
      <w:r w:rsidRPr="00FC0F33">
        <w:rPr>
          <w:rFonts w:ascii="Arial" w:hAnsi="Arial" w:cs="Arial"/>
          <w:sz w:val="22"/>
          <w:szCs w:val="22"/>
        </w:rPr>
        <w:t xml:space="preserve">. El gráfico central </w:t>
      </w:r>
      <w:r w:rsidRPr="00FC0F33">
        <w:rPr>
          <w:rFonts w:ascii="Arial" w:hAnsi="Arial" w:cs="Arial"/>
          <w:sz w:val="22"/>
          <w:szCs w:val="22"/>
        </w:rPr>
        <w:t xml:space="preserve">(gráfico de líneas) </w:t>
      </w:r>
      <w:r w:rsidRPr="00FC0F33">
        <w:rPr>
          <w:rFonts w:ascii="Arial" w:hAnsi="Arial" w:cs="Arial"/>
          <w:sz w:val="22"/>
          <w:szCs w:val="22"/>
        </w:rPr>
        <w:t xml:space="preserve">aprovecha la jerarquía cronológica nativa (Año </w:t>
      </w:r>
      <w:r w:rsidRPr="00FC0F33">
        <w:rPr>
          <w:rFonts w:ascii="Arial" w:hAnsi="Arial" w:cs="Arial"/>
          <w:sz w:val="22"/>
          <w:szCs w:val="22"/>
        </w:rPr>
        <w:t xml:space="preserve">&gt; Semestre </w:t>
      </w:r>
      <w:r w:rsidRPr="00FC0F33">
        <w:rPr>
          <w:rFonts w:ascii="Arial" w:hAnsi="Arial" w:cs="Arial"/>
          <w:sz w:val="22"/>
          <w:szCs w:val="22"/>
        </w:rPr>
        <w:t xml:space="preserve">&gt; Mes &gt; Día), permitiendo al usuario realizar exploración en profundidad (Drill Down) para </w:t>
      </w:r>
      <w:r w:rsidRPr="00FC0F33">
        <w:rPr>
          <w:rFonts w:ascii="Arial" w:hAnsi="Arial" w:cs="Arial"/>
          <w:sz w:val="22"/>
          <w:szCs w:val="22"/>
        </w:rPr>
        <w:t xml:space="preserve">chequear </w:t>
      </w:r>
      <w:r w:rsidRPr="00FC0F33">
        <w:rPr>
          <w:rFonts w:ascii="Arial" w:hAnsi="Arial" w:cs="Arial"/>
          <w:sz w:val="22"/>
          <w:szCs w:val="22"/>
        </w:rPr>
        <w:t>comportamientos de venta en ventanas de tiempo específicas mediante un solo clic. El control global se gestiona desde el panel de filtros lateral izquierdo</w:t>
      </w:r>
      <w:r w:rsidRPr="00FC0F33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C0F33">
        <w:rPr>
          <w:rFonts w:ascii="Arial" w:hAnsi="Arial" w:cs="Arial"/>
          <w:sz w:val="22"/>
          <w:szCs w:val="22"/>
        </w:rPr>
        <w:t>segmentadores</w:t>
      </w:r>
      <w:proofErr w:type="spellEnd"/>
      <w:r w:rsidRPr="00FC0F33">
        <w:rPr>
          <w:rFonts w:ascii="Arial" w:hAnsi="Arial" w:cs="Arial"/>
          <w:sz w:val="22"/>
          <w:szCs w:val="22"/>
        </w:rPr>
        <w:t xml:space="preserve"> por Categoría y por Tienda)</w:t>
      </w:r>
      <w:r w:rsidRPr="00FC0F33">
        <w:rPr>
          <w:rFonts w:ascii="Arial" w:hAnsi="Arial" w:cs="Arial"/>
          <w:sz w:val="22"/>
          <w:szCs w:val="22"/>
        </w:rPr>
        <w:t>.</w:t>
      </w:r>
    </w:p>
    <w:p w14:paraId="3E4A3A62" w14:textId="3CBF26C0" w:rsidR="00F162B0" w:rsidRDefault="00F162B0">
      <w:r>
        <w:rPr>
          <w:noProof/>
        </w:rPr>
        <w:drawing>
          <wp:inline distT="0" distB="0" distL="0" distR="0" wp14:anchorId="0C3E79CE" wp14:editId="3A7F21A4">
            <wp:extent cx="5612130" cy="31775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A961" w14:textId="01A9329F" w:rsidR="00F162B0" w:rsidRDefault="00F162B0">
      <w:r>
        <w:rPr>
          <w:noProof/>
        </w:rPr>
        <w:drawing>
          <wp:inline distT="0" distB="0" distL="0" distR="0" wp14:anchorId="5307B37C" wp14:editId="5F9E2223">
            <wp:extent cx="5612130" cy="32842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CB3D" w14:textId="196E4C3D" w:rsidR="00FC0F33" w:rsidRDefault="00FC0F33">
      <w:r>
        <w:rPr>
          <w:noProof/>
        </w:rPr>
        <w:lastRenderedPageBreak/>
        <w:drawing>
          <wp:inline distT="0" distB="0" distL="0" distR="0" wp14:anchorId="376F7B21" wp14:editId="5E8C6CAC">
            <wp:extent cx="5612130" cy="362966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6832" w14:textId="77777777" w:rsidR="00FC0F33" w:rsidRDefault="00FC0F33"/>
    <w:p w14:paraId="49A8C9B8" w14:textId="6ED70D76" w:rsidR="00FC0F33" w:rsidRDefault="00FC0F33">
      <w:r>
        <w:rPr>
          <w:noProof/>
        </w:rPr>
        <w:drawing>
          <wp:inline distT="0" distB="0" distL="0" distR="0" wp14:anchorId="4B2C5FC1" wp14:editId="38B75985">
            <wp:extent cx="5612130" cy="360426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D29C" w14:textId="77777777" w:rsidR="00FC0F33" w:rsidRDefault="00FC0F33"/>
    <w:p w14:paraId="0B96293C" w14:textId="057F926C" w:rsidR="00FC0F33" w:rsidRPr="00FC0F33" w:rsidRDefault="00F162B0" w:rsidP="00FC0F33">
      <w:pPr>
        <w:jc w:val="both"/>
        <w:rPr>
          <w:rFonts w:ascii="Arial" w:hAnsi="Arial" w:cs="Arial"/>
          <w:sz w:val="22"/>
          <w:szCs w:val="22"/>
        </w:rPr>
      </w:pPr>
      <w:r w:rsidRPr="00FC0F33">
        <w:rPr>
          <w:rFonts w:ascii="Arial" w:hAnsi="Arial" w:cs="Arial"/>
          <w:b/>
          <w:bCs/>
          <w:sz w:val="22"/>
          <w:szCs w:val="22"/>
        </w:rPr>
        <w:lastRenderedPageBreak/>
        <w:t xml:space="preserve">Reporte </w:t>
      </w:r>
      <w:r w:rsidRPr="00FC0F33">
        <w:rPr>
          <w:rFonts w:ascii="Arial" w:hAnsi="Arial" w:cs="Arial"/>
          <w:b/>
          <w:bCs/>
          <w:sz w:val="22"/>
          <w:szCs w:val="22"/>
        </w:rPr>
        <w:t xml:space="preserve">2: </w:t>
      </w:r>
      <w:r w:rsidRPr="00FC0F33">
        <w:rPr>
          <w:rFonts w:ascii="Arial" w:hAnsi="Arial" w:cs="Arial"/>
          <w:sz w:val="22"/>
          <w:szCs w:val="22"/>
        </w:rPr>
        <w:t xml:space="preserve"> </w:t>
      </w:r>
      <w:r w:rsidRPr="00FC0F33">
        <w:rPr>
          <w:rFonts w:ascii="Arial" w:hAnsi="Arial" w:cs="Arial"/>
          <w:sz w:val="22"/>
          <w:szCs w:val="22"/>
        </w:rPr>
        <w:t xml:space="preserve">Este reporte </w:t>
      </w:r>
      <w:r w:rsidRPr="00FC0F33">
        <w:rPr>
          <w:rFonts w:ascii="Arial" w:hAnsi="Arial" w:cs="Arial"/>
          <w:sz w:val="22"/>
          <w:szCs w:val="22"/>
        </w:rPr>
        <w:t xml:space="preserve">está destinado </w:t>
      </w:r>
      <w:r w:rsidR="00FC0F33" w:rsidRPr="00FC0F33">
        <w:rPr>
          <w:rFonts w:ascii="Arial" w:hAnsi="Arial" w:cs="Arial"/>
          <w:sz w:val="22"/>
          <w:szCs w:val="22"/>
        </w:rPr>
        <w:t>o</w:t>
      </w:r>
      <w:r w:rsidR="00FC0F33" w:rsidRPr="00FC0F33">
        <w:rPr>
          <w:rFonts w:ascii="Arial" w:hAnsi="Arial" w:cs="Arial"/>
          <w:sz w:val="22"/>
          <w:szCs w:val="22"/>
        </w:rPr>
        <w:t>ptimización de</w:t>
      </w:r>
      <w:r w:rsidR="00FC0F33" w:rsidRPr="00FC0F33">
        <w:rPr>
          <w:rFonts w:ascii="Arial" w:hAnsi="Arial" w:cs="Arial"/>
          <w:sz w:val="22"/>
          <w:szCs w:val="22"/>
        </w:rPr>
        <w:t>l</w:t>
      </w:r>
      <w:r w:rsidR="00FC0F33" w:rsidRPr="00FC0F33">
        <w:rPr>
          <w:rFonts w:ascii="Arial" w:hAnsi="Arial" w:cs="Arial"/>
          <w:sz w:val="22"/>
          <w:szCs w:val="22"/>
        </w:rPr>
        <w:t xml:space="preserve"> Inventario</w:t>
      </w:r>
      <w:r w:rsidRPr="00FC0F33">
        <w:rPr>
          <w:rFonts w:ascii="Arial" w:hAnsi="Arial" w:cs="Arial"/>
          <w:sz w:val="22"/>
          <w:szCs w:val="22"/>
        </w:rPr>
        <w:t xml:space="preserve">. Presenta una matriz avanzada estructurada bajo una jerarquía de Categoría-Producto, facilitando desgloses interactivos en el mismo lienzo. Los gráficos de stock </w:t>
      </w:r>
      <w:r w:rsidRPr="00FC0F33">
        <w:rPr>
          <w:rFonts w:ascii="Arial" w:hAnsi="Arial" w:cs="Arial"/>
          <w:sz w:val="22"/>
          <w:szCs w:val="22"/>
        </w:rPr>
        <w:t>tienen</w:t>
      </w:r>
      <w:r w:rsidRPr="00FC0F33">
        <w:rPr>
          <w:rFonts w:ascii="Arial" w:hAnsi="Arial" w:cs="Arial"/>
          <w:sz w:val="22"/>
          <w:szCs w:val="22"/>
        </w:rPr>
        <w:t xml:space="preserve"> un formateo condicional de columnas que resalta inmediatamente en color de alerta (</w:t>
      </w:r>
      <w:r w:rsidRPr="00FC0F33">
        <w:rPr>
          <w:rFonts w:ascii="Arial" w:hAnsi="Arial" w:cs="Arial"/>
          <w:sz w:val="22"/>
          <w:szCs w:val="22"/>
        </w:rPr>
        <w:t>Rojo</w:t>
      </w:r>
      <w:r w:rsidRPr="00FC0F33">
        <w:rPr>
          <w:rFonts w:ascii="Arial" w:hAnsi="Arial" w:cs="Arial"/>
          <w:sz w:val="22"/>
          <w:szCs w:val="22"/>
        </w:rPr>
        <w:t xml:space="preserve">) aquellos productos </w:t>
      </w:r>
      <w:r w:rsidRPr="00FC0F33">
        <w:rPr>
          <w:rFonts w:ascii="Arial" w:hAnsi="Arial" w:cs="Arial"/>
          <w:sz w:val="22"/>
          <w:szCs w:val="22"/>
        </w:rPr>
        <w:t xml:space="preserve">que su Stock Actual </w:t>
      </w:r>
      <w:r w:rsidR="00FC0F33" w:rsidRPr="00FC0F33">
        <w:rPr>
          <w:rFonts w:ascii="Arial" w:hAnsi="Arial" w:cs="Arial"/>
          <w:sz w:val="22"/>
          <w:szCs w:val="22"/>
        </w:rPr>
        <w:t>sea BAJO (menor al</w:t>
      </w:r>
      <w:r w:rsidRPr="00FC0F33">
        <w:rPr>
          <w:rFonts w:ascii="Arial" w:hAnsi="Arial" w:cs="Arial"/>
          <w:sz w:val="22"/>
          <w:szCs w:val="22"/>
        </w:rPr>
        <w:t xml:space="preserve"> Stock Mínimo</w:t>
      </w:r>
      <w:r w:rsidR="00FC0F33" w:rsidRPr="00FC0F33">
        <w:rPr>
          <w:rFonts w:ascii="Arial" w:hAnsi="Arial" w:cs="Arial"/>
          <w:sz w:val="22"/>
          <w:szCs w:val="22"/>
        </w:rPr>
        <w:t>)</w:t>
      </w:r>
      <w:r w:rsidRPr="00FC0F33">
        <w:rPr>
          <w:rFonts w:ascii="Arial" w:hAnsi="Arial" w:cs="Arial"/>
          <w:sz w:val="22"/>
          <w:szCs w:val="22"/>
        </w:rPr>
        <w:t>,</w:t>
      </w:r>
      <w:r w:rsidR="00FC0F33" w:rsidRPr="00FC0F33">
        <w:rPr>
          <w:rFonts w:ascii="Arial" w:hAnsi="Arial" w:cs="Arial"/>
          <w:sz w:val="22"/>
          <w:szCs w:val="22"/>
        </w:rPr>
        <w:t xml:space="preserve"> color azul para Stock NORMAL y color verde</w:t>
      </w:r>
      <w:r w:rsidRPr="00FC0F33">
        <w:rPr>
          <w:rFonts w:ascii="Arial" w:hAnsi="Arial" w:cs="Arial"/>
          <w:sz w:val="22"/>
          <w:szCs w:val="22"/>
        </w:rPr>
        <w:t xml:space="preserve"> </w:t>
      </w:r>
      <w:r w:rsidR="00FC0F33" w:rsidRPr="00FC0F33">
        <w:rPr>
          <w:rFonts w:ascii="Arial" w:hAnsi="Arial" w:cs="Arial"/>
          <w:sz w:val="22"/>
          <w:szCs w:val="22"/>
        </w:rPr>
        <w:t xml:space="preserve">para Stock ALTO, </w:t>
      </w:r>
      <w:r w:rsidRPr="00FC0F33">
        <w:rPr>
          <w:rFonts w:ascii="Arial" w:hAnsi="Arial" w:cs="Arial"/>
          <w:sz w:val="22"/>
          <w:szCs w:val="22"/>
        </w:rPr>
        <w:t>optimizando los tiempos de decisión para el equipo de compras</w:t>
      </w:r>
      <w:r w:rsidR="00FC0F33" w:rsidRPr="00FC0F33">
        <w:rPr>
          <w:rFonts w:ascii="Arial" w:hAnsi="Arial" w:cs="Arial"/>
          <w:sz w:val="22"/>
          <w:szCs w:val="22"/>
        </w:rPr>
        <w:t>.</w:t>
      </w:r>
    </w:p>
    <w:p w14:paraId="5FAB2B40" w14:textId="77777777" w:rsidR="00FC0F33" w:rsidRDefault="00FC0F33" w:rsidP="00FC0F33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AAF5987" wp14:editId="5EBC1BE8">
            <wp:extent cx="5612130" cy="33756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4D18" w14:textId="76F2E795" w:rsidR="00FC0F33" w:rsidRDefault="00FC0F33" w:rsidP="00FC0F33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62C843" wp14:editId="23438261">
            <wp:extent cx="5612130" cy="34290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7771" w14:textId="4F7BDD5E" w:rsidR="00FC0F33" w:rsidRPr="00FC0F33" w:rsidRDefault="00FC0F33" w:rsidP="00FC0F33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DE8499F" wp14:editId="4F73642A">
            <wp:extent cx="5612130" cy="37033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F33" w:rsidRPr="00FC0F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B0"/>
    <w:rsid w:val="00043EA7"/>
    <w:rsid w:val="00402F7D"/>
    <w:rsid w:val="004153DB"/>
    <w:rsid w:val="00F162B0"/>
    <w:rsid w:val="00FC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B47E7"/>
  <w15:chartTrackingRefBased/>
  <w15:docId w15:val="{A82271DA-1713-4844-89D0-7CB6909E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2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2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2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2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2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2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2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</dc:creator>
  <cp:keywords/>
  <dc:description/>
  <cp:lastModifiedBy>Fernanda</cp:lastModifiedBy>
  <cp:revision>1</cp:revision>
  <dcterms:created xsi:type="dcterms:W3CDTF">2026-08-29T18:04:00Z</dcterms:created>
  <dcterms:modified xsi:type="dcterms:W3CDTF">2026-08-29T18:25:00Z</dcterms:modified>
</cp:coreProperties>
</file>