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FirstParagraph"/>
        <w:spacing w:before="180" w:after="180"/>
        <w:rPr/>
      </w:pPr>
      <w:r>
        <w:rPr/>
        <w:t>Dispositif 1 — Grammaire et orthographe grammaticale</w:t>
      </w:r>
    </w:p>
    <w:p>
      <w:pPr>
        <w:pStyle w:val="Heading2"/>
        <w:rPr/>
      </w:pPr>
      <w:bookmarkStart w:id="0" w:name="classe-de-cm1"/>
      <w:r>
        <w:rPr/>
        <w:t>Classe de CM1</w:t>
      </w:r>
    </w:p>
    <w:p>
      <w:pPr>
        <w:pStyle w:val="FirstParagraph"/>
        <w:rPr/>
      </w:pPr>
      <w:r>
        <w:rPr>
          <w:i/>
          <w:iCs/>
        </w:rPr>
        <w:t>Version intégrant le jeu Profissime correspondant à chaque ceinture (Pack 58 jeux CM1/CM2, programmes 2025).</w:t>
      </w:r>
    </w:p>
    <w:p>
      <w:pPr>
        <w:pStyle w:val="BodyText"/>
        <w:rPr/>
      </w:pPr>
      <w:r>
        <w:rPr>
          <w:i/>
          <w:iCs/>
        </w:rPr>
        <w:t xml:space="preserve">Mise à jour (septembre 2026) : nouveau parcours de ceinture (trois entraînements ciblés, un seul test — le test ciblé, en trois versions —, deux remédiations, trois entraînements spiralés sans test), entraînement collectif de 30 min à l’ardoise avec groupe de besoin, observations interactives, kit universel d’étiquettes, vocabulaire neutre dans les fiches. Détail : documents « Structure des ceintures ». Référence officielle : programme de français du cycle 3 publié en 2025 (appliqué au CM1 depuis la rentrée 2025).</w:t>
      </w:r>
    </w:p>
    <w:p>
      <w:pPr>
        <w:pStyle w:val="Heading1"/>
        <w:rPr/>
      </w:pPr>
      <w:bookmarkStart w:id="2" w:name="repères-de-progression"/>
      <w:r>
        <w:rPr/>
        <w:t>1. Repères de progression</w:t>
      </w:r>
    </w:p>
    <w:p>
      <w:pPr>
        <w:pStyle w:val="FirstParagraph"/>
        <w:rPr/>
      </w:pPr>
      <w:r>
        <w:rPr/>
        <w:t>Les ceintures sont numérotées dans l’ordre chronologique d’enseignement, construites à partir des repères annuels de progression Éduscol (cycle 3) pour le niveau CM1.</w:t>
      </w:r>
    </w:p>
    <w:p>
      <w:pPr>
        <w:pStyle w:val="BodyText"/>
        <w:rPr/>
      </w:pPr>
      <w:bookmarkStart w:id="3" w:name="repères-de-progression"/>
      <w:r>
        <w:rPr/>
        <w:t>Limite assumée : la phrase simple/phrase complexe (objectif propre au programme CM2) n’a pas d’équivalent en CM1 dans ce dispositif — cette notion n’est pas travaillée à ce niveau.</w:t>
      </w:r>
      <w:bookmarkEnd w:id="3"/>
    </w:p>
    <w:p>
      <w:pPr>
        <w:pStyle w:val="Heading1"/>
        <w:rPr/>
      </w:pPr>
      <w:bookmarkStart w:id="4" w:name="réinvestissement-rotatif"/>
      <w:r>
        <w:rPr/>
        <w:t>2. Réinvestissement rotatif</w:t>
      </w:r>
    </w:p>
    <w:p>
      <w:pPr>
        <w:pStyle w:val="FirstParagraph"/>
        <w:rPr/>
      </w:pPr>
      <w:r>
        <w:rPr/>
        <w:t xml:space="preserve">Chacun des trois entraînements spiralés d’une ceinture Gn intègre la notion nouvelle + un exercice pioché dans le pool de toutes les ceintures précédentes, avec un pioché différent d’un entraînement spiralé à l’autre plutôt qu’un réinvestissement cumulatif intégral. Pas de ceinture de synthèse finale distincte : mobiliser tout le pool d’un coup ferait double emploi avec ce réinvestissement rotatif déjà assuré tout au long des ceintures précédentes.</w:t>
      </w:r>
    </w:p>
    <w:p>
      <w:pPr>
        <w:pStyle w:val="BodyText"/>
        <w:rPr/>
      </w:pPr>
      <w:r>
        <w:rPr/>
        <w:t xml:space="preserve">Cas de G1 : aucune ceinture antérieure à piocher. Ses trois entraînements spiralés sont des approfondissements de G1 elle-même (position du sujet, sujet composé, items plus difficiles).</w:t>
      </w:r>
    </w:p>
    <w:p>
      <w:pPr>
        <w:pStyle w:val="Heading1"/>
        <w:rPr/>
      </w:pPr>
      <w:bookmarkStart w:id="6" w:name="palette-de-couleurs"/>
      <w:r>
        <w:rPr/>
        <w:t>3. Palette de couleurs</w:t>
      </w:r>
    </w:p>
    <w:p>
      <w:pPr>
        <w:pStyle w:val="FirstParagraph"/>
        <w:rPr/>
      </w:pPr>
      <w:bookmarkStart w:id="7" w:name="palette-de-couleurs"/>
      <w:r>
        <w:rPr/>
        <w:t>Blanche → Rose → Jaune → Orange → Verte → Bleue → Violette. Le parcours s’arrête à la Violette (G7).</w:t>
      </w:r>
      <w:bookmarkEnd w:id="7"/>
    </w:p>
    <w:p>
      <w:pPr>
        <w:pStyle w:val="Heading1"/>
        <w:rPr/>
      </w:pPr>
      <w:bookmarkStart w:id="8" w:name="les-7-ceintures-g1-g7"/>
      <w:r>
        <w:rPr/>
        <w:t>4. Les 7 ceintures (G1 → G7)</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37"/>
        <w:gridCol w:w="1337"/>
        <w:gridCol w:w="1337"/>
        <w:gridCol w:w="1337"/>
        <w:gridCol w:w="1337"/>
        <w:gridCol w:w="1337"/>
        <w:gridCol w:w="1337"/>
      </w:tblGrid>
      <w:tr>
        <w:trPr>
          <w:tblHeader w:val="true"/>
        </w:trPr>
        <w:tc>
          <w:tcPr>
            <w:tcW w:w="1337"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w:t>
            </w:r>
          </w:p>
        </w:tc>
        <w:tc>
          <w:tcPr>
            <w:tcW w:w="1337"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Couleur</w:t>
            </w:r>
          </w:p>
        </w:tc>
        <w:tc>
          <w:tcPr>
            <w:tcW w:w="1337"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Objectif dominant</w:t>
            </w:r>
          </w:p>
        </w:tc>
        <w:tc>
          <w:tcPr>
            <w:tcW w:w="1337"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Prérequis</w:t>
            </w:r>
          </w:p>
        </w:tc>
        <w:tc>
          <w:tcPr>
            <w:tcW w:w="1337"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Période</w:t>
            </w:r>
          </w:p>
        </w:tc>
        <w:tc>
          <w:tcPr>
            <w:tcW w:w="1337"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Réinvestissement (rotatif)</w:t>
            </w:r>
          </w:p>
        </w:tc>
        <w:tc>
          <w:tcPr>
            <w:tcW w:w="1337"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Jeu associé</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Blanche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Phrase sujet + verbe (consolidation), sujet composé de plusieurs noms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Enquête sur les sujets</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G2</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Rose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Types et formes de phrase (approfondissement)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Les chevaliers de la ponctuation ; Phrases en force ; Formes en Folie</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G3</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Jaune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GN : noyau, accords en situations simples (consolidation)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P2</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{G1, G2}</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Grammatico Morpion ; La course aux adj-Nominator</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G4</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Orange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Classes grammaticales + adverbe, conjonction de coordination, déterminants possessifs/démonstratifs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G3</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P2</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{G1, G2, G3}</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Les déter’gagnants ; Le bingo des pronoms ; Coordo Lézard ; Festival des adverbes</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G5</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Verte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Accord sujet-verbe (consolidation, verbes du 2e groupe reconnus)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G1, G4</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P3</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{G1…G4} — suppose le présent (1er et 2e groupe) déjà vu en conjugaison (Dispositif 3, C1) ; futur (C2) et imparfait (C3) vus en P2-P3</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Tornado verbo</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G6</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Bleue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Compléments d’objet sans distinction ; groupes circonstanciels repérés/déplacés/supprimés sans classification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G1, G5</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P3</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{G1…G5}</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 identifié (les jeux du pack ciblent la distinction COD/COI et la classification des CC, propres au CM2)</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G7</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Violette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Chaîne d’accords : GN + sujet/verbe + participe passé avec être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G3, G5</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P4</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{G1…G6} — suppose le participe passé (1er groupe, avec être) déjà vu en conjugaison (Dispositif 3, C5, en début de P4)</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Accord mistigri</w:t>
            </w:r>
          </w:p>
        </w:tc>
      </w:tr>
    </w:tbl>
    <w:p>
      <w:pPr>
        <w:pStyle w:val="BodyText"/>
        <w:rPr/>
      </w:pPr>
      <w:bookmarkStart w:id="9" w:name="les-7-ceintures-g1-g7"/>
      <w:r>
        <w:rPr>
          <w:i/>
          <w:iCs/>
        </w:rPr>
        <w:t>Jeu transversal non rattaché à une ceinture précise : Planète Nature–Planète Fonction (révision de la distinction nature grammaticale / fonction dans la phrase, mobilise G4 + G6/G7). Non couvert : Subordo’skate (proposition subordonnée, aucune ceinture dédiée dans ce dispositif).</w:t>
      </w:r>
      <w:bookmarkEnd w:id="9"/>
    </w:p>
    <w:p>
      <w:pPr>
        <w:pStyle w:val="Heading1"/>
        <w:rPr/>
      </w:pPr>
      <w:bookmarkStart w:id="10" w:name="points-de-vigilance-inter-dispositifs"/>
      <w:r>
        <w:rPr/>
        <w:t>5. Points de vigilance inter-dispositifs</w:t>
      </w:r>
    </w:p>
    <w:p>
      <w:pPr>
        <w:pStyle w:val="Normal"/>
        <w:numPr>
          <w:ilvl w:val="0"/>
          <w:numId w:val="1"/>
        </w:numPr>
        <w:rPr/>
      </w:pPr>
      <w:r>
        <w:rPr/>
        <w:t xml:space="preserve">G5 (accord sujet-verbe, P3) suppose le présent déjà stabilisé en conjugaison (Dispositif 3, C1). Le futur (C2) et l’imparfait (C3), vus en P2-P3, peuvent alimenter les séries.</w:t>
      </w:r>
    </w:p>
    <w:p>
      <w:pPr>
        <w:pStyle w:val="Normal"/>
        <w:numPr>
          <w:ilvl w:val="0"/>
          <w:numId w:val="1"/>
        </w:numPr>
        <w:rPr/>
      </w:pPr>
      <w:r>
        <w:rPr/>
        <w:t xml:space="preserve">G7 (chaîne des accords, participe passé avec être, P4) suppose le participe passé du 1er groupe déjà vu en conjugaison (Dispositif 3, C5). Même période : C5 en début de P4, G7 ensuite.</w:t>
      </w:r>
    </w:p>
    <w:p>
      <w:pPr>
        <w:pStyle w:val="Heading1"/>
        <w:rPr/>
      </w:pPr>
      <w:bookmarkStart w:id="12" w:name="parcours-dune-ceinture-de-grammaire"/>
      <w:r>
        <w:rPr/>
        <w:t>6. Parcours d’une ceinture de grammaire</w:t>
      </w:r>
    </w:p>
    <w:p>
      <w:pPr>
        <w:pStyle w:val="Normal"/>
        <w:numPr>
          <w:ilvl w:val="0"/>
          <w:numId w:val="4"/>
        </w:numPr>
        <w:rPr/>
      </w:pPr>
      <w:r>
        <w:rPr/>
        <w:t xml:space="preserve">Chaque ceinture suit le parcours commun (Dispositif global, §1) : observation (diaporama d’au moins 12 séries et page interactive), trace écrite, entraînement collectif de 30 min (ardoise puis groupe de besoin), trois fiches d’entraînement ciblé, test ciblé en trois versions (A, B, C) avec deux remédiations, trois fiches d’entraînement spiralé sans test.</w:t>
      </w:r>
    </w:p>
    <w:p>
      <w:pPr>
        <w:pStyle w:val="Normal"/>
        <w:numPr>
          <w:ilvl w:val="0"/>
          <w:numId w:val="4"/>
        </w:numPr>
        <w:rPr/>
      </w:pPr>
      <w:r>
        <w:rPr/>
        <w:t xml:space="preserve">Entraînement collectif (modèle testé en G1) : réactivation (3 min), ardoise sur page projetée (12 min), deux groupes (12 min : binômes sur feuille pour pochette puis jeu Profissime, ou groupe de besoin avec l’enseignant et le kit d’étiquettes), bilan « prêt / pas encore » (3 min). Il remplace l’ancien diaporama de reprise collective.</w:t>
      </w:r>
    </w:p>
    <w:p>
      <w:pPr>
        <w:pStyle w:val="Normal"/>
        <w:numPr>
          <w:ilvl w:val="0"/>
          <w:numId w:val="4"/>
        </w:numPr>
        <w:rPr/>
      </w:pPr>
      <w:r>
        <w:rPr/>
        <w:t xml:space="preserve">Documents de l’étape 3, par ceinture : 3 - Gn - Déroulement entraînement collectif ; Gn-collectif-ardoise (page projetée, en ligne) ; 3b - Gn - Feuille pour pochette ; 3 - Gn - Entraînement ciblé collectif (version tout-en-un avec la fiche du groupe de besoin et le corrigé) ; jeu Profissime de la ceinture.</w:t>
      </w:r>
    </w:p>
    <w:p>
      <w:pPr>
        <w:pStyle w:val="Normal"/>
        <w:numPr>
          <w:ilvl w:val="0"/>
          <w:numId w:val="5"/>
        </w:numPr>
        <w:rPr/>
      </w:pPr>
      <w:r>
        <w:rPr/>
        <w:t>Les fiches reposent sur les manipulations recommandées par Éduscol : réduire la phrase (phrase la plus courte), remplacer (sujet par un pronom), déplacer (sujet ou complément), transformer (type, forme, temps, nombre). L’élève justifie toujours sa réponse ; le choix entre deux phrases (vraie / fausse) n’est plus utilisé dans les fiches.</w:t>
      </w:r>
    </w:p>
    <w:p>
      <w:pPr>
        <w:pStyle w:val="Normal"/>
        <w:numPr>
          <w:ilvl w:val="0"/>
          <w:numId w:val="6"/>
        </w:numPr>
        <w:rPr/>
      </w:pPr>
      <w:r>
        <w:rPr/>
        <w:t>Terminologie de G2 (Éduscol 2020) : trois types de phrase (déclarative, interrogative, impérative) ; la négation et l’exclamation sont des formes qui s’ajoutent au type.</w:t>
      </w:r>
    </w:p>
    <w:p>
      <w:pPr>
        <w:pStyle w:val="Normal"/>
        <w:numPr>
          <w:ilvl w:val="0"/>
          <w:numId w:val="7"/>
        </w:numPr>
        <w:rPr/>
      </w:pPr>
      <w:r>
        <w:rPr/>
        <w:t xml:space="preserve">Kit universel : sachet « G1-G2 » (wagons SUJET et VERBE, pronoms sujets, négations, ponctuation, « Est-ce que », « -t- ») pour G1 et G2 ; sachet « Classes de mots » (7 classes aux couleurs des affiches : déterminant, nom, adjectif, verbe, pronom, adverbe, conjonction — la préposition relève du CM2 — et marques d’accord) pour G3 à G7 ; sachet « Compléments » (wagons COMPLÉMENT D’OBJET et COMPLÉMENT CIRCONSTANCIEL, sans classement) pour G6 ; pour G7, les auxiliaires être et avoir et les participes passés du sachet « C4-C5 » (conjugaison). Détail : « Kit universel d’étiquettes — CM1 ».</w:t>
      </w:r>
    </w:p>
    <w:p>
      <w:pPr>
        <w:pStyle w:val="Normal"/>
        <w:numPr>
          <w:ilvl w:val="0"/>
          <w:numId w:val="8"/>
        </w:numPr>
        <w:spacing w:before="0" w:after="200"/>
        <w:rPr/>
      </w:pPr>
      <w:r>
        <w:rPr/>
        <w:t xml:space="preserve">Ceintures produites selon ce parcours : G1 et G2 (y compris l’étape 3 complète).</w:t>
      </w:r>
    </w:p>
    <w:p>
      <w:pPr>
        <w:pStyle w:val="Heading1"/>
      </w:pPr>
      <w:r>
        <w:t xml:space="preserve">En CM2 : les mêmes ceintures, approfondies</w:t>
      </w:r>
    </w:p>
    <w:p>
      <w:pPr>
        <w:pStyle w:val="BodyText"/>
      </w:pPr>
      <w:r>
        <w:t xml:space="preserve">Depuis octobre 2026, chaque ceinture CM2 porte le même numéro, la même couleur et la même notion qu’en CM1. En classe à double niveau, l’observation et la trace écrite sont communes ; le CM2 va plus loin avec des écrans et des exercices en plus, et passe son propre test.</w:t>
      </w:r>
    </w:p>
    <w:p>
      <w:pPr>
        <w:pStyle w:val="BodyText"/>
        <w:numPr>
          <w:ilvl w:val="0"/>
          <w:numId w:val="1"/>
        </w:numPr>
        <w:spacing w:after="60"/>
      </w:pPr>
      <w:r>
        <w:rPr>
          <w:b/>
          <w:bCs/>
        </w:rPr>
        <w:t xml:space="preserve">Trace écrite</w:t>
      </w:r>
      <w:r>
        <w:t xml:space="preserve"> : la carte mentale est la même ; un encadré « En CM2, j’apprends aussi » la complète (page interactive et impression).</w:t>
      </w:r>
    </w:p>
    <w:p>
      <w:pPr>
        <w:pStyle w:val="BodyText"/>
        <w:numPr>
          <w:ilvl w:val="0"/>
          <w:numId w:val="1"/>
        </w:numPr>
        <w:spacing w:after="60"/>
      </w:pPr>
      <w:r>
        <w:rPr>
          <w:b/>
          <w:bCs/>
        </w:rPr>
        <w:t xml:space="preserve">Page interactive</w:t>
      </w:r>
      <w:r>
        <w:t xml:space="preserve"> : bouton « CM2 » du sommaire ; les écrans propres au CM2 portent l’étiquette « CM2 ».</w:t>
      </w:r>
    </w:p>
    <w:p>
      <w:pPr>
        <w:pStyle w:val="BodyText"/>
        <w:numPr>
          <w:ilvl w:val="0"/>
          <w:numId w:val="1"/>
        </w:numPr>
        <w:spacing w:after="60"/>
      </w:pPr>
      <w:r>
        <w:rPr>
          <w:b/>
          <w:bCs/>
        </w:rPr>
        <w:t xml:space="preserve">Parcours</w:t>
      </w:r>
      <w:r>
        <w:t xml:space="preserve"> : inchangé (Structure des ceintures) ; test ciblé A/B/C, réussite 6/6. Pour le CM2, chaque version du test compte 3 items sur le tronc commun et 3 items sur l’ajout CM2.</w:t>
      </w:r>
    </w:p>
    <w:p>
      <w:pPr>
        <w:pStyle w:val="BodyText"/>
        <w:numPr>
          <w:ilvl w:val="0"/>
          <w:numId w:val="1"/>
        </w:numPr>
        <w:spacing w:after="60"/>
      </w:pPr>
      <w:r>
        <w:rPr>
          <w:b/>
          <w:bCs/>
        </w:rPr>
        <w:t xml:space="preserve">Cahier de progrès</w:t>
      </w:r>
      <w:r>
        <w:t xml:space="preserve"> : parcours C des fiches CE2-CM1-CM2, renuméroté sur le CM1.</w:t>
      </w:r>
    </w:p>
    <w:tbl>
      <w:tblPr>
        <w:tblW w:type="dxa" w:w="9600"/>
        <w:tblBorders>
          <w:top w:val="single" w:color="auto" w:sz="4"/>
          <w:left w:val="single" w:color="auto" w:sz="4"/>
          <w:bottom w:val="single" w:color="auto" w:sz="4"/>
          <w:right w:val="single" w:color="auto" w:sz="4"/>
          <w:insideH w:val="single" w:color="auto" w:sz="4"/>
          <w:insideV w:val="single" w:color="auto" w:sz="4"/>
        </w:tblBorders>
        <w:tblCellMar>
          <w:left w:w="80" w:type="dxa"/>
          <w:right w:w="80" w:type="dxa"/>
        </w:tblCellMar>
      </w:tblPr>
      <w:tblGrid>
        <w:gridCol w:w="615"/>
        <w:gridCol w:w="969"/>
        <w:gridCol w:w="3080"/>
        <w:gridCol w:w="4016"/>
        <w:gridCol w:w="918"/>
      </w:tblGrid>
      <w:tr>
        <w:trPr>
          <w:tblHeader/>
        </w:trPr>
        <w:tc>
          <w:tcPr>
            <w:tcW w:type="dxa" w:w="615"/>
            <w:shd w:fill="D9E2F3" w:val="clear"/>
          </w:tcPr>
          <w:p>
            <w:pPr>
              <w:spacing w:before="20" w:after="20"/>
            </w:pPr>
            <w:r>
              <w:rPr>
                <w:b/>
                <w:bCs/>
              </w:rPr>
              <w:t xml:space="preserve">N°</w:t>
            </w:r>
          </w:p>
        </w:tc>
        <w:tc>
          <w:tcPr>
            <w:tcW w:type="dxa" w:w="969"/>
            <w:shd w:fill="D9E2F3" w:val="clear"/>
          </w:tcPr>
          <w:p>
            <w:pPr>
              <w:spacing w:before="20" w:after="20"/>
            </w:pPr>
            <w:r>
              <w:rPr>
                <w:b/>
                <w:bCs/>
              </w:rPr>
              <w:t xml:space="preserve">Couleur</w:t>
            </w:r>
          </w:p>
        </w:tc>
        <w:tc>
          <w:tcPr>
            <w:tcW w:type="dxa" w:w="3080"/>
            <w:shd w:fill="D9E2F3" w:val="clear"/>
          </w:tcPr>
          <w:p>
            <w:pPr>
              <w:spacing w:before="20" w:after="20"/>
            </w:pPr>
            <w:r>
              <w:rPr>
                <w:b/>
                <w:bCs/>
              </w:rPr>
              <w:t xml:space="preserve">Tronc commun (CM1)</w:t>
            </w:r>
          </w:p>
        </w:tc>
        <w:tc>
          <w:tcPr>
            <w:tcW w:type="dxa" w:w="4016"/>
            <w:shd w:fill="D9E2F3" w:val="clear"/>
          </w:tcPr>
          <w:p>
            <w:pPr>
              <w:spacing w:before="20" w:after="20"/>
            </w:pPr>
            <w:r>
              <w:rPr>
                <w:b/>
                <w:bCs/>
              </w:rPr>
              <w:t xml:space="preserve">En plus en CM2</w:t>
            </w:r>
          </w:p>
        </w:tc>
        <w:tc>
          <w:tcPr>
            <w:tcW w:type="dxa" w:w="918"/>
            <w:shd w:fill="D9E2F3" w:val="clear"/>
          </w:tcPr>
          <w:p>
            <w:pPr>
              <w:spacing w:before="20" w:after="20"/>
            </w:pPr>
            <w:r>
              <w:rPr>
                <w:b/>
                <w:bCs/>
              </w:rPr>
              <w:t xml:space="preserve">Période</w:t>
            </w:r>
          </w:p>
        </w:tc>
      </w:tr>
      <w:tr>
        <w:tc>
          <w:tcPr>
            <w:tcW w:type="dxa" w:w="615"/>
          </w:tcPr>
          <w:p>
            <w:pPr>
              <w:spacing w:before="20" w:after="20"/>
            </w:pPr>
            <w:r>
              <w:t xml:space="preserve">G1</w:t>
            </w:r>
          </w:p>
        </w:tc>
        <w:tc>
          <w:tcPr>
            <w:tcW w:type="dxa" w:w="969"/>
          </w:tcPr>
          <w:p>
            <w:pPr>
              <w:spacing w:before="20" w:after="20"/>
            </w:pPr>
            <w:r>
              <w:t xml:space="preserve">Blanche</w:t>
            </w:r>
          </w:p>
        </w:tc>
        <w:tc>
          <w:tcPr>
            <w:tcW w:type="dxa" w:w="3080"/>
          </w:tcPr>
          <w:p>
            <w:pPr>
              <w:spacing w:before="20" w:after="20"/>
            </w:pPr>
            <w:r>
              <w:t xml:space="preserve">Sujet et verbe ; sujet composé, après le verbe ; verbes d’état</w:t>
            </w:r>
          </w:p>
        </w:tc>
        <w:tc>
          <w:tcPr>
            <w:tcW w:type="dxa" w:w="4016"/>
          </w:tcPr>
          <w:p>
            <w:pPr>
              <w:spacing w:before="20" w:after="20"/>
            </w:pPr>
            <w:r>
              <w:t xml:space="preserve">Le sujet inversé, prouvé avec « c’est… qui »</w:t>
            </w:r>
          </w:p>
        </w:tc>
        <w:tc>
          <w:tcPr>
            <w:tcW w:type="dxa" w:w="918"/>
          </w:tcPr>
          <w:p>
            <w:pPr>
              <w:spacing w:before="20" w:after="20"/>
            </w:pPr>
            <w:r>
              <w:t xml:space="preserve">P1</w:t>
            </w:r>
          </w:p>
        </w:tc>
      </w:tr>
      <w:tr>
        <w:tc>
          <w:tcPr>
            <w:tcW w:type="dxa" w:w="615"/>
          </w:tcPr>
          <w:p>
            <w:pPr>
              <w:spacing w:before="20" w:after="20"/>
            </w:pPr>
            <w:r>
              <w:t xml:space="preserve">G2</w:t>
            </w:r>
          </w:p>
        </w:tc>
        <w:tc>
          <w:tcPr>
            <w:tcW w:type="dxa" w:w="969"/>
          </w:tcPr>
          <w:p>
            <w:pPr>
              <w:spacing w:before="20" w:after="20"/>
            </w:pPr>
            <w:r>
              <w:t xml:space="preserve">Rose</w:t>
            </w:r>
          </w:p>
        </w:tc>
        <w:tc>
          <w:tcPr>
            <w:tcW w:type="dxa" w:w="3080"/>
          </w:tcPr>
          <w:p>
            <w:pPr>
              <w:spacing w:before="20" w:after="20"/>
            </w:pPr>
            <w:r>
              <w:t xml:space="preserve">Types et formes de phrase</w:t>
            </w:r>
          </w:p>
        </w:tc>
        <w:tc>
          <w:tcPr>
            <w:tcW w:type="dxa" w:w="4016"/>
          </w:tcPr>
          <w:p>
            <w:pPr>
              <w:spacing w:before="20" w:after="20"/>
            </w:pPr>
            <w:r>
              <w:t xml:space="preserve">Phrase simple ou complexe (je compte les verbes conjugués) ; les mots qui relient</w:t>
            </w:r>
          </w:p>
        </w:tc>
        <w:tc>
          <w:tcPr>
            <w:tcW w:type="dxa" w:w="918"/>
          </w:tcPr>
          <w:p>
            <w:pPr>
              <w:spacing w:before="20" w:after="20"/>
            </w:pPr>
            <w:r>
              <w:t xml:space="preserve">P1</w:t>
            </w:r>
          </w:p>
        </w:tc>
      </w:tr>
      <w:tr>
        <w:tc>
          <w:tcPr>
            <w:tcW w:type="dxa" w:w="615"/>
          </w:tcPr>
          <w:p>
            <w:pPr>
              <w:spacing w:before="20" w:after="20"/>
            </w:pPr>
            <w:r>
              <w:t xml:space="preserve">G3</w:t>
            </w:r>
          </w:p>
        </w:tc>
        <w:tc>
          <w:tcPr>
            <w:tcW w:type="dxa" w:w="969"/>
          </w:tcPr>
          <w:p>
            <w:pPr>
              <w:spacing w:before="20" w:after="20"/>
            </w:pPr>
            <w:r>
              <w:t xml:space="preserve">Jaune</w:t>
            </w:r>
          </w:p>
        </w:tc>
        <w:tc>
          <w:tcPr>
            <w:tcW w:type="dxa" w:w="3080"/>
          </w:tcPr>
          <w:p>
            <w:pPr>
              <w:spacing w:before="20" w:after="20"/>
            </w:pPr>
            <w:r>
              <w:t xml:space="preserve">Groupe nominal ; accords ; féminins qui changent ; pluriels en -x et -aux</w:t>
            </w:r>
          </w:p>
        </w:tc>
        <w:tc>
          <w:tcPr>
            <w:tcW w:type="dxa" w:w="4016"/>
          </w:tcPr>
          <w:p>
            <w:pPr>
              <w:spacing w:before="20" w:after="20"/>
            </w:pPr>
            <w:r>
              <w:t xml:space="preserve">Le complément du nom ; épithète ou attribut du sujet</w:t>
            </w:r>
          </w:p>
        </w:tc>
        <w:tc>
          <w:tcPr>
            <w:tcW w:type="dxa" w:w="918"/>
          </w:tcPr>
          <w:p>
            <w:pPr>
              <w:spacing w:before="20" w:after="20"/>
            </w:pPr>
            <w:r>
              <w:t xml:space="preserve">P2</w:t>
            </w:r>
          </w:p>
        </w:tc>
      </w:tr>
      <w:tr>
        <w:tc>
          <w:tcPr>
            <w:tcW w:type="dxa" w:w="615"/>
          </w:tcPr>
          <w:p>
            <w:pPr>
              <w:spacing w:before="20" w:after="20"/>
            </w:pPr>
            <w:r>
              <w:t xml:space="preserve">G4</w:t>
            </w:r>
          </w:p>
        </w:tc>
        <w:tc>
          <w:tcPr>
            <w:tcW w:type="dxa" w:w="969"/>
          </w:tcPr>
          <w:p>
            <w:pPr>
              <w:spacing w:before="20" w:after="20"/>
            </w:pPr>
            <w:r>
              <w:t xml:space="preserve">Orange</w:t>
            </w:r>
          </w:p>
        </w:tc>
        <w:tc>
          <w:tcPr>
            <w:tcW w:type="dxa" w:w="3080"/>
          </w:tcPr>
          <w:p>
            <w:pPr>
              <w:spacing w:before="20" w:after="20"/>
            </w:pPr>
            <w:r>
              <w:t xml:space="preserve">Classes de mots ; verbe ou nom ; variable ou invariable</w:t>
            </w:r>
          </w:p>
        </w:tc>
        <w:tc>
          <w:tcPr>
            <w:tcW w:type="dxa" w:w="4016"/>
          </w:tcPr>
          <w:p>
            <w:pPr>
              <w:spacing w:before="20" w:after="20"/>
            </w:pPr>
            <w:r>
              <w:t xml:space="preserve">Les prépositions ; les conjonctions de subordination ; le, la, les : déterminant ou pronom</w:t>
            </w:r>
          </w:p>
        </w:tc>
        <w:tc>
          <w:tcPr>
            <w:tcW w:type="dxa" w:w="918"/>
          </w:tcPr>
          <w:p>
            <w:pPr>
              <w:spacing w:before="20" w:after="20"/>
            </w:pPr>
            <w:r>
              <w:t xml:space="preserve">P2</w:t>
            </w:r>
          </w:p>
        </w:tc>
      </w:tr>
      <w:tr>
        <w:tc>
          <w:tcPr>
            <w:tcW w:type="dxa" w:w="615"/>
          </w:tcPr>
          <w:p>
            <w:pPr>
              <w:spacing w:before="20" w:after="20"/>
            </w:pPr>
            <w:r>
              <w:t xml:space="preserve">G5</w:t>
            </w:r>
          </w:p>
        </w:tc>
        <w:tc>
          <w:tcPr>
            <w:tcW w:type="dxa" w:w="969"/>
          </w:tcPr>
          <w:p>
            <w:pPr>
              <w:spacing w:before="20" w:after="20"/>
            </w:pPr>
            <w:r>
              <w:t xml:space="preserve">Verte</w:t>
            </w:r>
          </w:p>
        </w:tc>
        <w:tc>
          <w:tcPr>
            <w:tcW w:type="dxa" w:w="3080"/>
          </w:tcPr>
          <w:p>
            <w:pPr>
              <w:spacing w:before="20" w:after="20"/>
            </w:pPr>
            <w:r>
              <w:t xml:space="preserve">Accord sujet-verbe ; pièges ; 2e groupe</w:t>
            </w:r>
          </w:p>
        </w:tc>
        <w:tc>
          <w:tcPr>
            <w:tcW w:type="dxa" w:w="4016"/>
          </w:tcPr>
          <w:p>
            <w:pPr>
              <w:spacing w:before="20" w:after="20"/>
            </w:pPr>
            <w:r>
              <w:t xml:space="preserve">Le sujet inversé dans les questions ; l’accord de l’attribut du sujet</w:t>
            </w:r>
          </w:p>
        </w:tc>
        <w:tc>
          <w:tcPr>
            <w:tcW w:type="dxa" w:w="918"/>
          </w:tcPr>
          <w:p>
            <w:pPr>
              <w:spacing w:before="20" w:after="20"/>
            </w:pPr>
            <w:r>
              <w:t xml:space="preserve">P3</w:t>
            </w:r>
          </w:p>
        </w:tc>
      </w:tr>
      <w:tr>
        <w:tc>
          <w:tcPr>
            <w:tcW w:type="dxa" w:w="615"/>
          </w:tcPr>
          <w:p>
            <w:pPr>
              <w:spacing w:before="20" w:after="20"/>
            </w:pPr>
            <w:r>
              <w:t xml:space="preserve">G6</w:t>
            </w:r>
          </w:p>
        </w:tc>
        <w:tc>
          <w:tcPr>
            <w:tcW w:type="dxa" w:w="969"/>
          </w:tcPr>
          <w:p>
            <w:pPr>
              <w:spacing w:before="20" w:after="20"/>
            </w:pPr>
            <w:r>
              <w:t xml:space="preserve">Bleue</w:t>
            </w:r>
          </w:p>
        </w:tc>
        <w:tc>
          <w:tcPr>
            <w:tcW w:type="dxa" w:w="3080"/>
          </w:tcPr>
          <w:p>
            <w:pPr>
              <w:spacing w:before="20" w:after="20"/>
            </w:pPr>
            <w:r>
              <w:t xml:space="preserve">Compléments d’objet et circonstanciels ; supprimer, déplacer</w:t>
            </w:r>
          </w:p>
        </w:tc>
        <w:tc>
          <w:tcPr>
            <w:tcW w:type="dxa" w:w="4016"/>
          </w:tcPr>
          <w:p>
            <w:pPr>
              <w:spacing w:before="20" w:after="20"/>
            </w:pPr>
            <w:r>
              <w:t xml:space="preserve">La préposition du COI ; compléments circonstanciels de temps, de lieu, de cause ; attribut ou complément d’objet</w:t>
            </w:r>
          </w:p>
        </w:tc>
        <w:tc>
          <w:tcPr>
            <w:tcW w:type="dxa" w:w="918"/>
          </w:tcPr>
          <w:p>
            <w:pPr>
              <w:spacing w:before="20" w:after="20"/>
            </w:pPr>
            <w:r>
              <w:t xml:space="preserve">P3</w:t>
            </w:r>
          </w:p>
        </w:tc>
      </w:tr>
      <w:tr>
        <w:tc>
          <w:tcPr>
            <w:tcW w:type="dxa" w:w="615"/>
          </w:tcPr>
          <w:p>
            <w:pPr>
              <w:spacing w:before="20" w:after="20"/>
            </w:pPr>
            <w:r>
              <w:t xml:space="preserve">G7</w:t>
            </w:r>
          </w:p>
        </w:tc>
        <w:tc>
          <w:tcPr>
            <w:tcW w:type="dxa" w:w="969"/>
          </w:tcPr>
          <w:p>
            <w:pPr>
              <w:spacing w:before="20" w:after="20"/>
            </w:pPr>
            <w:r>
              <w:t xml:space="preserve">Violette</w:t>
            </w:r>
          </w:p>
        </w:tc>
        <w:tc>
          <w:tcPr>
            <w:tcW w:type="dxa" w:w="3080"/>
          </w:tcPr>
          <w:p>
            <w:pPr>
              <w:spacing w:before="20" w:after="20"/>
            </w:pPr>
            <w:r>
              <w:t xml:space="preserve">Chaîne des accords : GN, sujet-verbe, participe passé avec être</w:t>
            </w:r>
          </w:p>
        </w:tc>
        <w:tc>
          <w:tcPr>
            <w:tcW w:type="dxa" w:w="4016"/>
          </w:tcPr>
          <w:p>
            <w:pPr>
              <w:spacing w:before="20" w:after="20"/>
            </w:pPr>
            <w:r>
              <w:t xml:space="preserve">L’attribut du sujet dans la chaîne</w:t>
            </w:r>
          </w:p>
        </w:tc>
        <w:tc>
          <w:tcPr>
            <w:tcW w:type="dxa" w:w="918"/>
          </w:tcPr>
          <w:p>
            <w:pPr>
              <w:spacing w:before="20" w:after="20"/>
            </w:pPr>
            <w:r>
              <w:t xml:space="preserve">P4</w:t>
            </w:r>
          </w:p>
        </w:tc>
      </w:tr>
    </w:tbl>
    <w:p/>
    <w:p>
      <w:pPr>
        <w:pStyle w:val="BodyText"/>
      </w:pPr>
      <w:r>
        <w:t xml:space="preserve">Programme 2025 (CM2) couvert ainsi : sujet inversé, phrase simple et phrase complexe, complément du nom, épithète et attribut, prépositions, conjonctions de subordination, pronoms compléments, COD/COI, compléments circonstanciels de temps, de lieu et de cause. La limite notée au §1 (phrase simple/phrase complexe hors CM1) est levée pour le CM2 : elle est traitée en G2.</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num>
  <w:num w:numId="5">
    <w:abstractNumId w:val="1"/>
  </w:num>
  <w:num w:numId="6">
    <w:abstractNumId w:val="1"/>
  </w:num>
  <w:num w:numId="7">
    <w:abstractNumId w:val="1"/>
  </w:num>
  <w:num w:numId="8">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2026-09-24T08:16:44Z</dcterms:created>
  <dc:creator/>
  <dc:description/>
  <dc:language>en-US</dc:language>
  <cp:lastModifiedBy/>
  <dcterms:modified xsi:type="dcterms:W3CDTF">2026-09-24T08:16:44Z</dcterms:modified>
  <cp:revision>0</cp:revision>
  <dc:subject/>
  <dc:title/>
</cp:coreProperties>
</file>

<file path=docProps/custom.xml><?xml version="1.0" encoding="utf-8"?>
<Properties xmlns="http://schemas.openxmlformats.org/officeDocument/2006/custom-properties" xmlns:vt="http://schemas.openxmlformats.org/officeDocument/2006/docPropsVTypes"/>
</file>