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Dispositif 7 — Les écrits</w:t>
      </w:r>
    </w:p>
    <w:p>
      <w:pPr>
        <w:spacing w:after="200"/>
      </w:pPr>
      <w:r>
        <w:rPr>
          <w:b/>
          <w:bCs/>
          <w:i/>
          <w:iCs/>
          <w:sz w:val="24"/>
          <w:szCs w:val="24"/>
        </w:rPr>
        <w:t xml:space="preserve">Classe de CM1</w:t>
      </w:r>
    </w:p>
    <w:p>
      <w:pPr>
        <w:spacing w:after="160"/>
      </w:pPr>
      <w:r>
        <w:rPr>
          <w:b w:val="false"/>
          <w:bCs w:val="false"/>
          <w:i/>
          <w:iCs/>
        </w:rPr>
        <w:t xml:space="preserve">Document construit à partir du programme de français du cycle 3 (entrée « Écriture ») et des ressources Éduscol correspondantes (écrits de travail, gammes d'écriture). Dispositif transversal : il ne repose pas sur un système de ceintures, mais organise l'articulation entre écriture régulière et réinvestissement dans les autres disciplines — en lien avec les ceintures de langue (Dispositifs 1, 1 bis, 3, 4) et le carnet de mots (Dispositif 5). Le volet Lecture / carnet de lecteur, ainsi que la démarche détaillée des écrits longs, sont traités au Dispositif 7a ; les écrits courts (gammes d'écriture) le sont au Dispositif 7b.</w:t>
      </w:r>
    </w:p>
    <w:p>
      <w:pPr>
        <w:pStyle w:val="Heading1"/>
        <w:spacing w:after="150" w:before="300"/>
      </w:pPr>
      <w:r>
        <w:t xml:space="preserve">1. Deux régimes d'écrit, un même principe : la régularité plutôt que la performance</w:t>
      </w:r>
    </w:p>
    <w:p>
      <w:pPr>
        <w:spacing w:after="160"/>
      </w:pPr>
      <w:r>
        <w:rPr>
          <w:b w:val="false"/>
          <w:bCs w:val="false"/>
          <w:i w:val="false"/>
          <w:iCs w:val="false"/>
        </w:rPr>
        <w:t xml:space="preserve">Le programme distingue nettement les écrits qui servent à réfléchir et apprendre dans l'instant, et les écrits longs, aboutis, destinés à être partagés ou évalués. Le Dispositif 7 reprend cette distinction en deux volets : les écrits de travail quotidiens, et la production d'écrits longs. Les deux s'alimentent mutuellement et se réinvestissent dans les autres disciplines.</w:t>
      </w:r>
    </w:p>
    <w:p>
      <w:pPr>
        <w:pStyle w:val="Heading1"/>
        <w:spacing w:after="150" w:before="300"/>
      </w:pPr>
      <w:r>
        <w:t xml:space="preserve">2. Deux régimes distincts</w:t>
      </w:r>
    </w:p>
    <w:p>
      <w:pPr>
        <w:spacing w:after="160"/>
      </w:pPr>
      <w:r>
        <w:rPr>
          <w:b w:val="false"/>
          <w:bCs w:val="false"/>
          <w:i w:val="false"/>
          <w:iCs w:val="false"/>
        </w:rPr>
        <w:t xml:space="preserve">Les ressources Éduscol sur l'enseignement de l'écriture au cycle 3 distinguent deux régimes d'écrit, qui n'ont ni la même fréquence, ni le même statut, ni la même exigence de norme.</w:t>
      </w:r>
    </w:p>
    <w:p>
      <w:pPr>
        <w:pStyle w:val="Heading2"/>
        <w:spacing w:after="120" w:before="240"/>
      </w:pPr>
      <w:r>
        <w:t xml:space="preserve">2.1 Les écrits de travail (quotidiens, non corrigés)</w:t>
      </w:r>
    </w:p>
    <w:p>
      <w:pPr>
        <w:spacing w:after="160"/>
      </w:pPr>
      <w:r>
        <w:rPr>
          <w:b w:val="false"/>
          <w:bCs w:val="false"/>
          <w:i w:val="false"/>
          <w:iCs w:val="false"/>
        </w:rPr>
        <w:t xml:space="preserve">Les écrits de travail se pratiquent dans toutes les disciplines et tous les jours : ils ne visent pas leur propre perfection, mais servent à trier, comparer, lister, reformuler ou formuler une hypothèse. Ils peuvent rester inachevés et ne sont ni corrigés ni notés — leur fonction est de mettre la pensée au travail, pas de produire un texte définitif.</w:t>
      </w:r>
    </w:p>
    <w:p>
      <w:pPr>
        <w:pStyle w:val="ListParagraph"/>
        <w:numPr>
          <w:ilvl w:val="0"/>
          <w:numId w:val="1"/>
        </w:numPr>
        <w:spacing w:after="100"/>
      </w:pPr>
      <w:r>
        <w:t xml:space="preserve">En français / lecture : noter une réaction, une question, un début d'interprétation avant la mise en commun.</w:t>
      </w:r>
    </w:p>
    <w:p>
      <w:pPr>
        <w:pStyle w:val="ListParagraph"/>
        <w:numPr>
          <w:ilvl w:val="0"/>
          <w:numId w:val="1"/>
        </w:numPr>
        <w:spacing w:after="100"/>
      </w:pPr>
      <w:r>
        <w:t xml:space="preserve">En sciences : formuler une hypothèse, noter une observation au fil d'une démarche d'investigation.</w:t>
      </w:r>
    </w:p>
    <w:p>
      <w:pPr>
        <w:pStyle w:val="ListParagraph"/>
        <w:numPr>
          <w:ilvl w:val="0"/>
          <w:numId w:val="1"/>
        </w:numPr>
        <w:spacing w:after="100"/>
      </w:pPr>
      <w:r>
        <w:t xml:space="preserve">En histoire, géographie, EMC : lister des informations prélevées dans un document, trier des idées avant une trace écrite collective.</w:t>
      </w:r>
    </w:p>
    <w:p>
      <w:pPr>
        <w:pStyle w:val="ListParagraph"/>
        <w:numPr>
          <w:ilvl w:val="0"/>
          <w:numId w:val="1"/>
        </w:numPr>
        <w:spacing w:after="100"/>
      </w:pPr>
      <w:r>
        <w:t xml:space="preserve">En mathématiques : garder trace d'un raisonnement, d'un essai, d'une procédure, même erronée.</w:t>
      </w:r>
    </w:p>
    <w:p>
      <w:pPr>
        <w:spacing w:after="160"/>
      </w:pPr>
      <w:r>
        <w:rPr>
          <w:b w:val="false"/>
          <w:bCs w:val="false"/>
          <w:i w:val="false"/>
          <w:iCs w:val="false"/>
        </w:rPr>
        <w:t xml:space="preserve">Ces écrits circulent : ils sont relus, commentés, repris — mais jamais évalués pour leur forme. C'est le point commun avec le carnet de mots (Dispositif 5) : les deux sont alimentés au fil des séances, sans créneau dédié, à l'endroit où le besoin apparaît.</w:t>
      </w:r>
    </w:p>
    <w:p>
      <w:pPr>
        <w:pStyle w:val="Heading2"/>
        <w:spacing w:after="120" w:before="240"/>
      </w:pPr>
      <w:r>
        <w:t xml:space="preserve">2.2 Les écrits longs (réguliers, aboutis)</w:t>
      </w:r>
    </w:p>
    <w:p>
      <w:pPr>
        <w:spacing w:after="160"/>
      </w:pPr>
      <w:r>
        <w:rPr>
          <w:b w:val="false"/>
          <w:bCs w:val="false"/>
          <w:i w:val="false"/>
          <w:iCs w:val="false"/>
        </w:rPr>
        <w:t xml:space="preserve">À côté des écrits de travail, une production d'écrits plus longue et aboutie est attendue régulièrement : raconter, expliquer, décrire, dialoguer, résumer, synthétiser — la palette de situations s'élargissant progressivement au fil du cycle. Ces écrits suivent un processus explicite : brouillon, relecture, amélioration à partir de pistes données par l'enseignant ou les pairs, et normalisation orthographique portant en particulier sur les accords. Ce processus est détaillé, étape par étape, au Dispositif 7a.</w:t>
      </w:r>
    </w:p>
    <w:p>
      <w:pPr>
        <w:spacing w:after="160"/>
      </w:pPr>
      <w:r>
        <w:rPr>
          <w:b w:val="false"/>
          <w:bCs w:val="false"/>
          <w:i w:val="false"/>
          <w:iCs w:val="false"/>
        </w:rPr>
        <w:t xml:space="preserve">À côté de ces deux régimes, les écrits courts (gammes d'écriture) préparent et accompagnent les productions longues sans s'y substituer : ils désinhibent le rapport à l'écrit avant de s'engager dans un texte à faire aboutir. Ce troisième régime, avec sa propre logique de contrainte et de régularité, est détaillé au Dispositif 7b.</w:t>
      </w:r>
    </w:p>
    <w:p>
      <w:pPr>
        <w:spacing w:after="160"/>
      </w:pPr>
      <w:r>
        <w:rPr>
          <w:b w:val="false"/>
          <w:bCs w:val="false"/>
          <w:i w:val="false"/>
          <w:iCs w:val="false"/>
        </w:rPr>
        <w:t xml:space="preserve">C'est dans ces écrits longs, et seulement dans ceux-ci, que le réinvestissement des ceintures de langue prend tout son sens : accord sujet-verbe (G5), chaîne des accords (G7), homophones (Dispositif 1 bis), temps verbaux stabilisés (Dispositif 3), vocabulaire du carnet de mots (Dispositif 5). Les écrits de travail, eux, ne sont pas le lieu de cette vigilance normative — la confondre reviendrait à transformer un outil de réflexion en exercice de ceintures, et à décourager la prise de risque qu'il est censé permettre.</w:t>
      </w:r>
    </w:p>
    <w:p>
      <w:pPr>
        <w:pStyle w:val="Heading1"/>
        <w:spacing w:after="150" w:before="300"/>
      </w:pPr>
      <w:r>
        <w:t xml:space="preserve">3. Le lien avec les autres disciplines</w:t>
      </w:r>
    </w:p>
    <w:p>
      <w:pPr>
        <w:spacing w:after="160"/>
      </w:pPr>
      <w:r>
        <w:rPr>
          <w:b w:val="false"/>
          <w:bCs w:val="false"/>
          <w:i w:val="false"/>
          <w:iCs w:val="false"/>
        </w:rPr>
        <w:t xml:space="preserve">Le programme situe l'écriture comme un vecteur d'apprentissage commun à toutes les disciplines, au même titre que la lecture et l'oral. Ce lien se joue à deux niveaux distincts, qu'il convient de ne pas confondre :</w:t>
      </w:r>
    </w:p>
    <w:p>
      <w:pPr>
        <w:pStyle w:val="ListParagraph"/>
        <w:numPr>
          <w:ilvl w:val="0"/>
          <w:numId w:val="1"/>
        </w:numPr>
        <w:spacing w:after="100"/>
      </w:pPr>
      <w:r>
        <w:t xml:space="preserve">Un niveau quotidien et sans enjeu normatif : les écrits de travail produits dans une discipline non linguistique restent des écrits de cette discipline — leur qualité rédactionnelle n'est pas l'objet de l'évaluation.</w:t>
      </w:r>
    </w:p>
    <w:p>
      <w:pPr>
        <w:pStyle w:val="ListParagraph"/>
        <w:numPr>
          <w:ilvl w:val="0"/>
          <w:numId w:val="1"/>
        </w:numPr>
        <w:spacing w:after="100"/>
      </w:pPr>
      <w:r>
        <w:t xml:space="preserve">Un niveau plus rare et exigeant : lorsqu'une discipline débouche sur un écrit long destiné à être partagé (compte rendu de sortie, notice, exposé rédigé), cet écrit relève alors du même processus que les écrits longs de français — brouillon, révision, vigilance orthographique — et peut mobiliser le carnet de mots (Dispositif 5) pour le vocabulaire disciplinaire.</w:t>
      </w:r>
    </w:p>
    <w:p>
      <w:pPr>
        <w:spacing w:after="160"/>
      </w:pPr>
      <w:r>
        <w:rPr>
          <w:b w:val="false"/>
          <w:bCs w:val="false"/>
          <w:i w:val="false"/>
          <w:iCs w:val="false"/>
        </w:rPr>
        <w:t xml:space="preserve">La culture littéraire elle-même s'articule aux autres enseignements par les projets d'apprentissage : chaque entrée littéraire du programme peut associer lecture, écriture, étude de la langue, vocabulaire et oral autour d'une même œuvre ou d'un même groupement de textes, sans que toutes les compétences soient travaillées à égalité dans un seul projet.</w:t>
      </w:r>
    </w:p>
    <w:p>
      <w:pPr>
        <w:pStyle w:val="Heading1"/>
        <w:spacing w:after="150" w:before="300"/>
      </w:pPr>
      <w:r>
        <w:t xml:space="preserve">4. Ce qui reste propre à ce dispositif (pas de ceintures)</w:t>
      </w:r>
    </w:p>
    <w:p>
      <w:pPr>
        <w:pStyle w:val="ListParagraph"/>
        <w:numPr>
          <w:ilvl w:val="0"/>
          <w:numId w:val="1"/>
        </w:numPr>
        <w:spacing w:after="100"/>
      </w:pPr>
      <w:r>
        <w:t xml:space="preserve">Aucun test de passage : la régularité de la pratique prime sur la validation d'un palier.</w:t>
      </w:r>
    </w:p>
    <w:p>
      <w:pPr>
        <w:pStyle w:val="ListParagraph"/>
        <w:numPr>
          <w:ilvl w:val="0"/>
          <w:numId w:val="1"/>
        </w:numPr>
        <w:spacing w:after="100"/>
      </w:pPr>
      <w:r>
        <w:t xml:space="preserve">Aucun barème appliqué aux écrits de travail : leur évaluation, quand elle existe, porte sur l'engagement et la régularité, pas sur la norme. Le carnet de lecteur (Dispositif 7a) suit le même principe.</w:t>
      </w:r>
    </w:p>
    <w:p>
      <w:pPr>
        <w:pStyle w:val="ListParagraph"/>
        <w:numPr>
          <w:ilvl w:val="0"/>
          <w:numId w:val="1"/>
        </w:numPr>
        <w:spacing w:after="100"/>
      </w:pPr>
      <w:r>
        <w:t xml:space="preserve">Les écrits longs restent le seul point de jonction explicite avec les ceintures de langue (G, H, C, V) et le carnet de mots (Dispositif 5).</w:t>
      </w:r>
    </w:p>
    <w:p>
      <w:pPr>
        <w:pStyle w:val="Heading1"/>
        <w:spacing w:after="150" w:before="300"/>
      </w:pPr>
      <w:r>
        <w:t xml:space="preserve">5. Points non tranchés</w:t>
      </w:r>
    </w:p>
    <w:p>
      <w:pPr>
        <w:pStyle w:val="ListParagraph"/>
        <w:numPr>
          <w:ilvl w:val="0"/>
          <w:numId w:val="1"/>
        </w:numPr>
        <w:spacing w:after="100"/>
      </w:pPr>
      <w:r>
        <w:t xml:space="preserve">Support des écrits de travail non arrêté : cahier unique transversal, ou un support par discipline — à trancher selon l'organisation matérielle de la classe.</w:t>
      </w:r>
    </w:p>
    <w:p>
      <w:pPr>
        <w:pStyle w:val="ListParagraph"/>
        <w:numPr>
          <w:ilvl w:val="0"/>
          <w:numId w:val="1"/>
        </w:numPr>
        <w:spacing w:after="100"/>
      </w:pPr>
      <w:r>
        <w:t xml:space="preserve">Critères de bascule d'un écrit de travail vers un écrit long à formaliser, pour éviter que tout écrit de travail finisse corrigé comme une production aboutie.</w:t>
      </w:r>
    </w:p>
    <w:p>
      <w:pPr>
        <w:pStyle w:val="Heading1"/>
      </w:pPr>
      <w:r>
        <w:t xml:space="preserve">En CM2</w:t>
      </w:r>
    </w:p>
    <w:p>
      <w:pPr>
        <w:pStyle w:val="BodyText"/>
      </w:pPr>
      <w:r>
        <w:t xml:space="preserve">Les deux régimes d’écrit (écrits de travail, écrits longs) restent les mêmes. Le programme 2025 (CM2) précise :</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left w:w="80" w:type="dxa"/>
          <w:right w:w="80" w:type="dxa"/>
        </w:tblCellMar>
      </w:tblPr>
      <w:tblGrid>
        <w:gridCol w:w="5745"/>
        <w:gridCol w:w="3854"/>
      </w:tblGrid>
      <w:tr>
        <w:trPr>
          <w:tblHeader/>
        </w:trPr>
        <w:tc>
          <w:tcPr>
            <w:tcW w:type="dxa" w:w="5745"/>
            <w:shd w:fill="D9E2F3" w:val="clear"/>
          </w:tcPr>
          <w:p>
            <w:pPr>
              <w:spacing w:before="20" w:after="20"/>
            </w:pPr>
            <w:r>
              <w:rPr>
                <w:b/>
                <w:bCs/>
              </w:rPr>
              <w:t xml:space="preserve">Programme CM2</w:t>
            </w:r>
          </w:p>
        </w:tc>
        <w:tc>
          <w:tcPr>
            <w:tcW w:type="dxa" w:w="3854"/>
            <w:shd w:fill="D9E2F3" w:val="clear"/>
          </w:tcPr>
          <w:p>
            <w:pPr>
              <w:spacing w:before="20" w:after="20"/>
            </w:pPr>
            <w:r>
              <w:rPr>
                <w:b/>
                <w:bCs/>
              </w:rPr>
              <w:t xml:space="preserve">Où dans ce dispositif</w:t>
            </w:r>
          </w:p>
        </w:tc>
      </w:tr>
      <w:tr>
        <w:tc>
          <w:tcPr>
            <w:tcW w:type="dxa" w:w="5745"/>
          </w:tcPr>
          <w:p>
            <w:pPr>
              <w:spacing w:before="20" w:after="20"/>
            </w:pPr>
            <w:r>
              <w:t xml:space="preserve">Écrire pour comparer deux documents ; écrits réflexifs courts pour expliquer un point de vue intégrant plusieurs documents</w:t>
            </w:r>
          </w:p>
        </w:tc>
        <w:tc>
          <w:tcPr>
            <w:tcW w:type="dxa" w:w="3854"/>
          </w:tcPr>
          <w:p>
            <w:pPr>
              <w:spacing w:before="20" w:after="20"/>
            </w:pPr>
            <w:r>
              <w:t xml:space="preserve">Écrits de travail (§2.1), en histoire, géographie, sciences, EMC</w:t>
            </w:r>
          </w:p>
        </w:tc>
      </w:tr>
      <w:tr>
        <w:tc>
          <w:tcPr>
            <w:tcW w:type="dxa" w:w="5745"/>
          </w:tcPr>
          <w:p>
            <w:pPr>
              <w:spacing w:before="20" w:after="20"/>
            </w:pPr>
            <w:r>
              <w:t xml:space="preserve">Reformuler l’essentiel d’une leçon, y compris de manière schématique</w:t>
            </w:r>
          </w:p>
        </w:tc>
        <w:tc>
          <w:tcPr>
            <w:tcW w:type="dxa" w:w="3854"/>
          </w:tcPr>
          <w:p>
            <w:pPr>
              <w:spacing w:before="20" w:after="20"/>
            </w:pPr>
            <w:r>
              <w:t xml:space="preserve">Écrits de travail ; trace écrite en carte mentale</w:t>
            </w:r>
          </w:p>
        </w:tc>
      </w:tr>
      <w:tr>
        <w:tc>
          <w:tcPr>
            <w:tcW w:type="dxa" w:w="5745"/>
          </w:tcPr>
          <w:p>
            <w:pPr>
              <w:spacing w:before="20" w:after="20"/>
            </w:pPr>
            <w:r>
              <w:t xml:space="preserve">Décrire, dialoguer ; nuancer un avis, imaginer une suite avec dialogue ou description</w:t>
            </w:r>
          </w:p>
        </w:tc>
        <w:tc>
          <w:tcPr>
            <w:tcW w:type="dxa" w:w="3854"/>
          </w:tcPr>
          <w:p>
            <w:pPr>
              <w:spacing w:before="20" w:after="20"/>
            </w:pPr>
            <w:r>
              <w:t xml:space="preserve">Écrits longs (Dispositif 7a) et écrits courts (Dispositif 7b)</w:t>
            </w:r>
          </w:p>
        </w:tc>
      </w:tr>
      <w:tr>
        <w:tc>
          <w:tcPr>
            <w:tcW w:type="dxa" w:w="5745"/>
          </w:tcPr>
          <w:p>
            <w:pPr>
              <w:spacing w:before="20" w:after="20"/>
            </w:pPr>
            <w:r>
              <w:t xml:space="preserve">Autonomie dans le respect des codes de l’écrit ; cohérence textuelle ; brouillon ; amélioration du texte</w:t>
            </w:r>
          </w:p>
        </w:tc>
        <w:tc>
          <w:tcPr>
            <w:tcW w:type="dxa" w:w="3854"/>
          </w:tcPr>
          <w:p>
            <w:pPr>
              <w:spacing w:before="20" w:after="20"/>
            </w:pPr>
            <w:r>
              <w:t xml:space="preserve">Écrits longs (Dispositif 7a, démarche en dix étapes)</w:t>
            </w:r>
          </w:p>
        </w:tc>
      </w:tr>
    </w:tbl>
    <w:p/>
    <w:p>
      <w:pPr>
        <w:pStyle w:val="BodyText"/>
      </w:pPr>
      <w:r>
        <w:t xml:space="preserve">La norme attendue reste ciblée sur les ceintures déjà validées par l’élève : pour un CM2, ce sont les ceintures CM2 (avec leur ajout).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2026-09-10T21:29:05.781Z</dcterms:created>
  <dcterms:modified xsi:type="dcterms:W3CDTF">2026-09-10T21:29:05.781Z</dcterms:modified>
</cp:coreProperties>
</file>

<file path=docProps/custom.xml><?xml version="1.0" encoding="utf-8"?>
<Properties xmlns="http://schemas.openxmlformats.org/officeDocument/2006/custom-properties" xmlns:vt="http://schemas.openxmlformats.org/officeDocument/2006/docPropsVTypes"/>
</file>